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Neighborhood</w:t>
      </w:r>
      <w:r>
        <w:t xml:space="preserve"> </w:t>
      </w:r>
      <w:r>
        <w:t xml:space="preserve">and</w:t>
      </w:r>
      <w:r>
        <w:t xml:space="preserve"> </w:t>
      </w:r>
      <w:r>
        <w:t xml:space="preserve">individual-level</w:t>
      </w:r>
      <w:r>
        <w:t xml:space="preserve"> </w:t>
      </w:r>
      <w:r>
        <w:t xml:space="preserve">predictors</w:t>
      </w:r>
      <w:r>
        <w:t xml:space="preserve"> </w:t>
      </w:r>
      <w:r>
        <w:t xml:space="preserve">of</w:t>
      </w:r>
      <w:r>
        <w:t xml:space="preserve"> </w:t>
      </w:r>
      <w:r>
        <w:t xml:space="preserve">COVID-19</w:t>
      </w:r>
      <w:r>
        <w:t xml:space="preserve"> </w:t>
      </w:r>
      <w:r>
        <w:t xml:space="preserve">seropositivity</w:t>
      </w:r>
      <w:r>
        <w:t xml:space="preserve"> </w:t>
      </w:r>
      <w:r>
        <w:t xml:space="preserve">among</w:t>
      </w:r>
      <w:r>
        <w:t xml:space="preserve"> </w:t>
      </w:r>
      <w:r>
        <w:t xml:space="preserve">Canadian</w:t>
      </w:r>
      <w:r>
        <w:t xml:space="preserve"> </w:t>
      </w:r>
      <w:r>
        <w:t xml:space="preserve">blood</w:t>
      </w:r>
      <w:r>
        <w:t xml:space="preserve"> </w:t>
      </w:r>
      <w:r>
        <w:t xml:space="preserve">donors</w:t>
      </w:r>
      <w:r>
        <w:t xml:space="preserve"> </w:t>
      </w:r>
      <w:r>
        <w:t xml:space="preserve">across</w:t>
      </w:r>
      <w:r>
        <w:t xml:space="preserve"> </w:t>
      </w:r>
      <w:r>
        <w:t xml:space="preserve">three</w:t>
      </w:r>
      <w:r>
        <w:t xml:space="preserve"> </w:t>
      </w:r>
      <w:r>
        <w:t xml:space="preserve">pandemic</w:t>
      </w:r>
      <w:r>
        <w:t xml:space="preserve"> </w:t>
      </w:r>
      <w:r>
        <w:t xml:space="preserve">waves</w:t>
      </w:r>
    </w:p>
    <w:p>
      <w:pPr>
        <w:pStyle w:val="Author"/>
      </w:pPr>
    </w:p>
    <w:p>
      <w:pPr>
        <w:pStyle w:val="Normal"/>
      </w:pPr>
      <w:r>
        <w:t xml:space="preserve">Yuan Yu</w:t>
      </w:r>
      <w:r>
        <w:rPr>
          <w:vertAlign w:val="superscript"/>
        </w:rPr>
        <w:t xml:space="preserve">1</w:t>
      </w:r>
      <w:r>
        <w:t xml:space="preserve">, Matthew J. Knight</w:t>
      </w:r>
      <w:r>
        <w:rPr>
          <w:vertAlign w:val="superscript"/>
        </w:rPr>
        <w:t xml:space="preserve">1</w:t>
      </w:r>
      <w:r>
        <w:t xml:space="preserve">, Sheila F. O’Brien</w:t>
      </w:r>
      <w:r>
        <w:rPr>
          <w:vertAlign w:val="superscript"/>
        </w:rPr>
        <w:t xml:space="preserve">2</w:t>
      </w:r>
      <w:r>
        <w:t xml:space="preserve">, David L. Buckeridge</w:t>
      </w:r>
      <w:r>
        <w:rPr>
          <w:vertAlign w:val="superscript"/>
        </w:rPr>
        <w:t xml:space="preserve">1,3</w:t>
      </w:r>
      <w:r>
        <w:t xml:space="preserve">, W. Alton Russell</w:t>
      </w:r>
      <w:r>
        <w:rPr>
          <w:vertAlign w:val="superscript"/>
        </w:rPr>
        <w:t xml:space="preserve">1,3</w:t>
      </w:r>
    </w:p>
    <w:p>
      <w:pPr>
        <w:pStyle w:val="BodyText"/>
      </w:pPr>
    </w:p>
    <w:p>
      <w:pPr>
        <w:pStyle w:val="BodyText"/>
      </w:pPr>
      <w:r>
        <w:rPr>
          <w:vertAlign w:val="superscript"/>
        </w:rPr>
        <w:t xml:space="preserve">1</w:t>
      </w:r>
      <w:r>
        <w:t xml:space="preserve">School of Population and Global Health, McGill University, Montreal, Canada</w:t>
      </w:r>
    </w:p>
    <w:p>
      <w:pPr>
        <w:pStyle w:val="BodyText"/>
      </w:pPr>
      <w:r>
        <w:rPr>
          <w:vertAlign w:val="superscript"/>
        </w:rPr>
        <w:t xml:space="preserve">2</w:t>
      </w:r>
      <w:r>
        <w:t xml:space="preserve">Canadian Blood Services, Ottawa, Canada</w:t>
      </w:r>
    </w:p>
    <w:p>
      <w:pPr>
        <w:pStyle w:val="BodyText"/>
      </w:pPr>
      <w:r>
        <w:rPr>
          <w:vertAlign w:val="superscript"/>
        </w:rPr>
        <w:t xml:space="preserve">3</w:t>
      </w:r>
      <w:r>
        <w:t xml:space="preserve">COVID-19 Immunity Task Force, Montreal, Canada</w:t>
      </w:r>
    </w:p>
    <w:p>
      <w:pPr>
        <w:pStyle w:val="BodyText"/>
      </w:pPr>
    </w:p>
    <w:p>
      <w:pPr>
        <w:pStyle w:val="BodyText"/>
      </w:pPr>
      <w:r>
        <w:rPr>
          <w:bCs/>
          <w:b/>
        </w:rPr>
        <w:t xml:space="preserve">Corresponding author:</w:t>
      </w:r>
      <w:r>
        <w:t xml:space="preserve"> </w:t>
      </w:r>
      <w:r>
        <w:t xml:space="preserve">W. Alton Russell</w:t>
      </w:r>
      <w:r>
        <w:t xml:space="preserve"> </w:t>
      </w:r>
      <w:hyperlink r:id="rId20">
        <w:r>
          <w:rPr>
            <w:rStyle w:val="Hyperlink"/>
          </w:rPr>
          <w:t xml:space="preserve">alton.russell@mcgill.ca</w:t>
        </w:r>
      </w:hyperlink>
      <w:r>
        <w:t xml:space="preserve">, +1-514-396-1476</w:t>
      </w:r>
    </w:p>
    <w:p>
      <w:pPr>
        <w:pStyle w:val="BodyText"/>
      </w:pPr>
      <w:r>
        <w:t xml:space="preserve">Suite 1200, 2001 McGill College Avenue, Montreal, QC, Canada H3A 1G1</w:t>
      </w:r>
    </w:p>
    <w:p>
      <w:pPr>
        <w:pStyle w:val="BodyText"/>
      </w:pPr>
      <w:r>
        <w:rPr>
          <w:bCs/>
          <w:b/>
        </w:rPr>
        <w:t xml:space="preserve">Key words:</w:t>
      </w:r>
      <w:r>
        <w:t xml:space="preserve"> </w:t>
      </w:r>
      <w:r>
        <w:t xml:space="preserve">Blood Donor; COVID-19; Surveillance; Bayesian multilevel regression; CAR</w:t>
      </w:r>
    </w:p>
    <w:p>
      <w:pPr>
        <w:pStyle w:val="BodyText"/>
      </w:pPr>
      <w:r>
        <w:rPr>
          <w:bCs/>
          <w:b/>
        </w:rPr>
        <w:t xml:space="preserve">Running title:</w:t>
      </w:r>
    </w:p>
    <w:bookmarkStart w:id="21" w:name="section"/>
    <w:p>
      <w:pPr>
        <w:pStyle w:val="Heading5"/>
      </w:pPr>
    </w:p>
    <w:bookmarkEnd w:id="21"/>
    <w:bookmarkStart w:id="23" w:name="abstract-250"/>
    <w:p>
      <w:pPr>
        <w:pStyle w:val="Heading1"/>
      </w:pPr>
      <w:r>
        <w:t xml:space="preserve">Abstract (~250)</w:t>
      </w:r>
    </w:p>
    <w:p>
      <w:pPr>
        <w:pStyle w:val="Normal"/>
      </w:pPr>
      <w:r>
        <w:t xml:space="preserve">Canadian Blood Services (CBS) is monitoring COVID-19 immunity levels in in the largest continuous seroprevalence study in Canada through the testing of randomly selected blood donations. While blood donors are a convenient and cost-effective group for public health surveillance, their characteristics may not reflect those of the general population. Therefore, it is important to evaluate and adjust for any potential biases. In this study, we assessed the correlation between demographic covariates and SARS-CoV-2 seropositivity across three pandemic waves (Pre-Delta, Delta, and Omicron) in four regions (Ontario, British Columbia, Prairies region and Atlantic region). We also compared multilevel modeling approaches with or without spatial effects. We found that Bayesian multilevel models with conditional autoregressive (CAR) priors consistently achieved better fitting by having the lower posterior predictive error in SARS-CoV-2 seropositivity when using individual factors and spatial factors. Our findings highlight how Bayesian multilevel modeling using antibody test data can provide valuable insights into population COVID-19 immunity levels, informing policy making.</w:t>
      </w:r>
    </w:p>
    <w:bookmarkStart w:id="22" w:name="section-1"/>
    <w:p>
      <w:pPr>
        <w:pStyle w:val="Heading5"/>
      </w:pPr>
    </w:p>
    <w:bookmarkEnd w:id="22"/>
    <w:bookmarkEnd w:id="23"/>
    <w:bookmarkStart w:id="24" w:name="introduction"/>
    <w:p>
      <w:pPr>
        <w:pStyle w:val="Heading1"/>
      </w:pPr>
      <w:r>
        <w:t xml:space="preserve">Introduction</w:t>
      </w:r>
    </w:p>
    <w:p>
      <w:pPr>
        <w:pStyle w:val="Normal"/>
      </w:pPr>
      <w:r>
        <w:t xml:space="preserve">The ability to accurately identify and document positive cases is an essential component of any successful surveillance system. Since most cases of SARS-CoV-2 do not require active care, governments and public health organizations have been forced to modify existing surveillance measures to accurately monitor SARS-CoV-2 in the general population. Surveillance programs have since provided vital information to policymakers regarding infection prevalence, vaccine coverage, and antibody waning</w:t>
      </w:r>
      <w:r>
        <w:t xml:space="preserve"> </w:t>
      </w:r>
      <w:r>
        <w:t xml:space="preserve">[1,2]</w:t>
      </w:r>
      <w:r>
        <w:t xml:space="preserve">. Testing of blood samples collected for donation or other healthcare purposes have contributed significantly towards SARS-CoV-2 surveillance within Canada and abroad</w:t>
      </w:r>
      <w:r>
        <w:t xml:space="preserve"> </w:t>
      </w:r>
      <w:r>
        <w:t xml:space="preserve">[3–5]</w:t>
      </w:r>
      <w:r>
        <w:t xml:space="preserve">. Blood sample surveillance can model temporal patterns, infection prevalence, and highlight differences in disease dynamics across subgroups</w:t>
      </w:r>
      <w:r>
        <w:t xml:space="preserve"> </w:t>
      </w:r>
      <w:r>
        <w:t xml:space="preserve">[3]</w:t>
      </w:r>
      <w:r>
        <w:t xml:space="preserve">.</w:t>
      </w:r>
    </w:p>
    <w:p>
      <w:pPr>
        <w:pStyle w:val="BodyText"/>
      </w:pPr>
      <w:r>
        <w:t xml:space="preserve">Before the SARS-CoV-2 pandemic, multiple countries had already used blood donor samples for public health surveillance. Denmark established a national blood donor cohort across all donation centers to monitor changes in health status among a relatively healthy population</w:t>
      </w:r>
      <w:r>
        <w:t xml:space="preserve"> </w:t>
      </w:r>
      <w:r>
        <w:t xml:space="preserve">[6]</w:t>
      </w:r>
      <w:r>
        <w:t xml:space="preserve">. Blood donor samples have previously been used to estimate the incidence of Chikungunya virus in Puerto Rico and are currently being explored for use in surveillance of other infectious diseases</w:t>
      </w:r>
      <w:r>
        <w:t xml:space="preserve"> </w:t>
      </w:r>
      <w:r>
        <w:t xml:space="preserve">[7,8]</w:t>
      </w:r>
      <w:r>
        <w:t xml:space="preserve">. Blood donors present several advantages for population health surveillance, including access to repeated donations over time, low cost, and ability to rapidly increase testing capacity. However, factors such as the use of different measurement assays and low positive case counts in some regions can obscure estimation of some parameters such as seroprevalence</w:t>
      </w:r>
      <w:r>
        <w:t xml:space="preserve"> </w:t>
      </w:r>
      <w:r>
        <w:t xml:space="preserve">[9]</w:t>
      </w:r>
      <w:r>
        <w:t xml:space="preserve">.</w:t>
      </w:r>
    </w:p>
    <w:p>
      <w:pPr>
        <w:pStyle w:val="BodyText"/>
      </w:pPr>
      <w:r>
        <w:t xml:space="preserve">Population seroprevalence of natural infection to SARS-CoV-2 is typically characterized using assays testing for antibody response to the nucleocapsid (anti-N) of the SARS-CoV-2 virus. Previous studies have found that population seroprevalence is sensitive to factors including sampling frame, location, occupation, and other demographic characteristics</w:t>
      </w:r>
      <w:r>
        <w:t xml:space="preserve"> </w:t>
      </w:r>
      <w:r>
        <w:t xml:space="preserve">[10,11]</w:t>
      </w:r>
      <w:r>
        <w:t xml:space="preserve">. However, identifying significant predictors of seroprevalence is an equally important surveillance task as it aids resource allocation. Within Canada, anti-N seropositivity has been associated with belonging to a visible minority group and residing within regions experiencing social and/or material deprivation</w:t>
      </w:r>
      <w:r>
        <w:t xml:space="preserve"> </w:t>
      </w:r>
      <w:r>
        <w:t xml:space="preserve">[12]</w:t>
      </w:r>
      <w:r>
        <w:t xml:space="preserve">. Geographic variation in predictors of anti-N seroprevalence has also been observed. Using a cohort of blood donors across nine Canadian provinces, O’Brien et al. identified belonging to a visible minority was significantly correlated with higher rates of seropositivity in only Ontario, British Columbia, and the Atlantic provinces</w:t>
      </w:r>
      <w:r>
        <w:t xml:space="preserve"> </w:t>
      </w:r>
      <w:r>
        <w:t xml:space="preserve">[13]</w:t>
      </w:r>
      <w:r>
        <w:t xml:space="preserve">. However, population-based seroprevalence studies face several challenges, including small sampling area and use of multiple different detection assays, which may skew estimates</w:t>
      </w:r>
      <w:r>
        <w:t xml:space="preserve"> </w:t>
      </w:r>
      <w:r>
        <w:t xml:space="preserve">[9,14,15]</w:t>
      </w:r>
      <w:r>
        <w:t xml:space="preserve">. In addition, blood donors differ from the general population on characteristics such as overall health status, which may reduce generalizability</w:t>
      </w:r>
      <w:r>
        <w:t xml:space="preserve"> </w:t>
      </w:r>
      <w:r>
        <w:t xml:space="preserve">[16]</w:t>
      </w:r>
      <w:r>
        <w:t xml:space="preserve">. Application of Bayesian multi-level modeling methods which adjust for these biases may provide more accurate seroprevalence estimates when using blood donor data.</w:t>
      </w:r>
    </w:p>
    <w:p>
      <w:pPr>
        <w:pStyle w:val="BodyText"/>
      </w:pPr>
      <w:r>
        <w:t xml:space="preserve">A considerate amount of samples were collected by Canadian blood services and being utilized for the SARS-CoV-2 antibody testing for disease surveillance since the very beginning of the pandemic. Covid-19 pandemic lasts over two years during which several variants of the SARS-CoV-2 dominants the infections of the community and different provinces have conducted different prevention strategies like suggesting wearing mask, lock downs and vaccination distribution etc. in response to the spread of the SARS-CoV-2 in a shorter period. While the possibility of an individual being infected is also quite related to whether remote working opportunities are available, the neighborhood he/she lives in, education level and social and material deprivation status etc. The surveillance for areas are challenging, it is worth to borrow information across neighboring counties to get more accurate county level seropositivity estimation. On the other hand, the corresponding covariates may not always available, utilizing the spatial model may account for the unknown spatial confounding compared to the general mixed effects model and facilitates a better fitting, which may result in different understanding of the overall social demographic features for the policy makers in general.</w:t>
      </w:r>
    </w:p>
    <w:p>
      <w:pPr>
        <w:pStyle w:val="BodyText"/>
      </w:pPr>
      <w:r>
        <w:t xml:space="preserve">The current study aimed to estimate individual- and neighborhood-levels predictors of anti-N seroprevalence using a large cohort of Canadian blood donors from nine Canadian provinces. Several fixed and random effects multilevel regression models were compared to identify significant predictors of seropositivity tested by Roche assay during the pre-Delta (December 14 2020 – August 1 2021), Delta (August 1 2021 – December 15 2021), and Omicron (December 15 2021 – December 1 2022) pandemic waves.</w:t>
      </w:r>
    </w:p>
    <w:bookmarkEnd w:id="24"/>
    <w:bookmarkStart w:id="27" w:name="methods"/>
    <w:p>
      <w:pPr>
        <w:pStyle w:val="Heading1"/>
      </w:pPr>
      <w:r>
        <w:t xml:space="preserve">Methods</w:t>
      </w:r>
    </w:p>
    <w:p>
      <w:pPr>
        <w:pStyle w:val="Normal"/>
      </w:pPr>
      <w:r>
        <w:t xml:space="preserve">Generalized linear model with both fixed effects, regular random effects (unstructured) and structured random effects are used to compare the seropositivity estimation across counties as well as the model fitting in Widely applicable information criterion (WAIC) score. Conditional autoregressive prior to construct the relationship between the geographical areas. Estimation results from shorter time range break is also calculated to evaluate the coefficient change according to the progression of the pandemic. Table One of the population distribution according to different individual or areal level covariates for all the targeted regions for each wave are provided.</w:t>
      </w:r>
    </w:p>
    <w:bookmarkStart w:id="25" w:name="data"/>
    <w:p>
      <w:pPr>
        <w:pStyle w:val="Heading2"/>
      </w:pPr>
      <w:r>
        <w:t xml:space="preserve">Data</w:t>
      </w:r>
    </w:p>
    <w:p>
      <w:pPr>
        <w:pStyle w:val="Normal"/>
      </w:pPr>
      <w:r>
        <w:t xml:space="preserve">We used the donation data across major stages (pre-delta, delta, omicron) of the pandemic from pre-delta period started from December 2020 to the late omicron which is December 2022 of four regions across Canada excludes Quebec. They are Ontario, British Columbia, the prairies region which includes Alberta, Saskatchewan, Manitoba, and the Atlantic region consists of New Brunswick, Newfoundland and Labrador, Nova Scotia, and Prince Edward Island. Since the seropositivity at the FSA level is too fine to arouse interest, it is more meaningful to obtain the county level seropositivity estimation. Knowing the fact that we only have the geographic information of the fsa level, while for some FSA area could be mapped to multiple census divisions, thus we develop a strategy to map the FSA to the census division proportional to the the census population at the donor level. We drop the donations with the missing demographic or geographic information. Since there are also situations that people fill out their hometown address while living in the areas they work or attend schools, we also drop the census divisions that has less than 5 donations in total. In the end, a total number of 420,320 donations from 239346 donors during the 24 months of the pandemic period were utilized into the analysis.</w:t>
      </w:r>
    </w:p>
    <w:bookmarkEnd w:id="25"/>
    <w:bookmarkStart w:id="26" w:name="modeling-method"/>
    <w:p>
      <w:pPr>
        <w:pStyle w:val="Heading2"/>
      </w:pPr>
      <w:r>
        <w:t xml:space="preserve">Modeling method</w:t>
      </w:r>
    </w:p>
    <w:p>
      <w:pPr>
        <w:pStyle w:val="Normal"/>
      </w:pPr>
      <w:r>
        <w:t xml:space="preserve">$$
\begin{aligned}
\min_{\textbf{z}, \textbf{M}, \textbf{A}} \quad &amp; \E [\C(\textbf{z}, \textbf{M}, \textbf{A} \mid \textbf{P})]\\
\textrm{s.t.} \quad &amp; m_{li} = a_{ji} = 0 \quad \forall l,j \quad \text{ when } \quad z_i=0
\end{aligned}
$$</w:t>
      </w:r>
    </w:p>
    <w:p>
      <w:pPr>
        <w:pStyle w:val="Normal"/>
      </w:pPr>
      <m:oMathPara>
        <m:oMathParaPr>
          <m:jc m:val="center"/>
        </m:oMathParaPr>
        <m:oMath>
          <m:d>
            <m:dPr>
              <m:begChr m:val="("/>
              <m:endChr m:val=")"/>
              <m:sepChr m:val=""/>
              <m:grow/>
            </m:dPr>
            <m:e>
              <m:r>
                <m:t>z</m:t>
              </m:r>
              <m:r>
                <m:rPr>
                  <m:sty m:val="p"/>
                </m:rPr>
                <m:t>,</m:t>
              </m:r>
              <m:r>
                <m:t>a</m:t>
              </m:r>
              <m:r>
                <m:rPr>
                  <m:sty m:val="p"/>
                </m:rPr>
                <m:t>∣</m:t>
              </m:r>
              <m:r>
                <m:t>p</m:t>
              </m:r>
            </m:e>
          </m:d>
          <m:r>
            <m:rPr>
              <m:sty m:val="p"/>
            </m:rPr>
            <m:t>]</m:t>
          </m:r>
          <m:r>
            <m:rPr>
              <m:sty m:val="p"/>
            </m:rPr>
            <m:t>=</m:t>
          </m:r>
          <m:d>
            <m:dPr>
              <m:begChr m:val="("/>
              <m:endChr m:val=")"/>
              <m:sepChr m:val=""/>
              <m:grow/>
            </m:dPr>
            <m:e>
              <m:r>
                <m:t>1</m:t>
              </m:r>
              <m:r>
                <m:rPr>
                  <m:sty m:val="p"/>
                </m:rPr>
                <m:t>−</m:t>
              </m:r>
              <m:r>
                <m:t>z</m:t>
              </m:r>
            </m:e>
          </m:d>
          <m:r>
            <m:t>d</m:t>
          </m:r>
          <m:r>
            <m:rPr>
              <m:sty m:val="p"/>
            </m:rPr>
            <m:t>+</m:t>
          </m:r>
          <m:r>
            <m:t>z</m:t>
          </m:r>
          <m:d>
            <m:dPr>
              <m:begChr m:val="("/>
              <m:endChr m:val=")"/>
              <m:sepChr m:val=""/>
              <m:grow/>
            </m:dPr>
            <m:e>
              <m:r>
                <m:t>w</m:t>
              </m:r>
              <m:r>
                <m:rPr>
                  <m:sty m:val="p"/>
                </m:rPr>
                <m:t>+</m:t>
              </m:r>
              <m:r>
                <m:t>a</m:t>
              </m:r>
              <m:r>
                <m:t>ϕ</m:t>
              </m:r>
              <m:r>
                <m:rPr>
                  <m:sty m:val="p"/>
                </m:rPr>
                <m:t>+</m:t>
              </m:r>
              <m:r>
                <m:t>a</m:t>
              </m:r>
              <m:r>
                <m:t>g</m:t>
              </m:r>
              <m:d>
                <m:dPr>
                  <m:begChr m:val="("/>
                  <m:endChr m:val=")"/>
                  <m:sepChr m:val=""/>
                  <m:grow/>
                </m:dPr>
                <m:e>
                  <m:r>
                    <m:t>r</m:t>
                  </m:r>
                  <m:r>
                    <m:t>p</m:t>
                  </m:r>
                  <m:r>
                    <m:rPr>
                      <m:sty m:val="p"/>
                    </m:rPr>
                    <m:t>+</m:t>
                  </m:r>
                  <m:d>
                    <m:dPr>
                      <m:begChr m:val="("/>
                      <m:endChr m:val=")"/>
                      <m:sepChr m:val=""/>
                      <m:grow/>
                    </m:dPr>
                    <m:e>
                      <m:r>
                        <m:t>1</m:t>
                      </m:r>
                      <m:r>
                        <m:rPr>
                          <m:sty m:val="p"/>
                        </m:rPr>
                        <m:t>−</m:t>
                      </m:r>
                      <m:r>
                        <m:t>q</m:t>
                      </m:r>
                    </m:e>
                  </m:d>
                  <m:d>
                    <m:dPr>
                      <m:begChr m:val="("/>
                      <m:endChr m:val=")"/>
                      <m:sepChr m:val=""/>
                      <m:grow/>
                    </m:dPr>
                    <m:e>
                      <m:r>
                        <m:t>1</m:t>
                      </m:r>
                      <m:r>
                        <m:rPr>
                          <m:sty m:val="p"/>
                        </m:rPr>
                        <m:t>−</m:t>
                      </m:r>
                      <m:r>
                        <m:t>p</m:t>
                      </m:r>
                    </m:e>
                  </m:d>
                </m:e>
              </m:d>
              <m:r>
                <m:rPr>
                  <m:sty m:val="p"/>
                </m:rPr>
                <m:t>+</m:t>
              </m:r>
              <m:d>
                <m:dPr>
                  <m:begChr m:val="("/>
                  <m:endChr m:val=")"/>
                  <m:sepChr m:val=""/>
                  <m:grow/>
                </m:dPr>
                <m:e>
                  <m:r>
                    <m:t>1</m:t>
                  </m:r>
                  <m:r>
                    <m:rPr>
                      <m:sty m:val="p"/>
                    </m:rPr>
                    <m:t>−</m:t>
                  </m:r>
                  <m:r>
                    <m:t>r</m:t>
                  </m:r>
                  <m:r>
                    <m:t>a</m:t>
                  </m:r>
                </m:e>
              </m:d>
              <m:r>
                <m:t>p</m:t>
              </m:r>
              <m:r>
                <m:t>c</m:t>
              </m:r>
            </m:e>
          </m:d>
          <m:r>
            <m:rPr>
              <m:sty m:val="p"/>
            </m:rPr>
            <m:t>.</m:t>
          </m:r>
        </m:oMath>
      </m:oMathPara>
    </w:p>
    <w:p>
      <w:pPr>
        <w:pStyle w:val="Normal"/>
      </w:pPr>
      <w:r>
        <w:t xml:space="preserve">$$
\begin{aligned}
y_{kj} &amp;\sim {\sf Binomial}(n_{kj}, {\theta}_{kj}) \quad k=1, ..., K, \quad j=1,...,n_k\\\\
\ln({\theta}_{kj}/(1-{\theta}_{kj})) &amp; = \mathbf{x}_{kj}^\top\mathbf{\beta}, \quad k=1,...,K, \quad j=1,...,n_k\\\\
p(\mathbf{\beta}_p) &amp;\propto 1,\quad-\infty &lt; \beta_p &lt; \infty,\quad p=0,.., 6\\
\end{aligned}
$$</w:t>
      </w:r>
    </w:p>
    <w:p>
      <w:pPr>
        <w:pStyle w:val="Normal"/>
      </w:pPr>
      <m:oMathPara>
        <m:oMathParaPr>
          <m:jc m:val="center"/>
        </m:oMathParaPr>
        <m:oMath>
          <m:m>
            <m:mPr>
              <m:baseJc m:val="center"/>
              <m:plcHide m:val="1"/>
              <m:mcs>
                <m:mc>
                  <m:mcPr>
                    <m:mcJc m:val="right"/>
                    <m:count m:val="1"/>
                  </m:mcPr>
                </m:mc>
                <m:mc>
                  <m:mcPr>
                    <m:mcJc m:val="left"/>
                    <m:count m:val="1"/>
                  </m:mcPr>
                </m:mc>
              </m:mcs>
            </m:mPr>
            <m:mr>
              <m:e>
                <m:sSub>
                  <m:e>
                    <m:r>
                      <m:t>y</m:t>
                    </m:r>
                  </m:e>
                  <m:sub>
                    <m:r>
                      <m:t>k</m:t>
                    </m:r>
                    <m:r>
                      <m:t>j</m:t>
                    </m:r>
                  </m:sub>
                </m:sSub>
              </m:e>
              <m:e>
                <m:r>
                  <m:rPr>
                    <m:sty m:val="p"/>
                  </m:rPr>
                  <m:t>∼</m:t>
                </m:r>
                <m:r>
                  <m:rPr>
                    <m:nor/>
                    <m:sty m:val="p"/>
                  </m:rPr>
                  <m:t>Binomial</m:t>
                </m:r>
                <m:d>
                  <m:dPr>
                    <m:begChr m:val="("/>
                    <m:endChr m:val=")"/>
                    <m:sepChr m:val=""/>
                    <m:grow/>
                  </m:dPr>
                  <m:e>
                    <m:sSub>
                      <m:e>
                        <m:r>
                          <m:t>n</m:t>
                        </m:r>
                      </m:e>
                      <m:sub>
                        <m:r>
                          <m:t>k</m:t>
                        </m:r>
                        <m:r>
                          <m:t>j</m:t>
                        </m:r>
                      </m:sub>
                    </m:sSub>
                    <m:r>
                      <m:rPr>
                        <m:sty m:val="p"/>
                      </m:rPr>
                      <m:t>,</m:t>
                    </m:r>
                    <m:sSub>
                      <m:e>
                        <m:r>
                          <m:t>θ</m:t>
                        </m:r>
                      </m:e>
                      <m:sub>
                        <m:r>
                          <m:t>k</m:t>
                        </m:r>
                        <m:r>
                          <m:t>j</m:t>
                        </m:r>
                      </m:sub>
                    </m:sSub>
                  </m:e>
                </m:d>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r>
                  <m:rPr>
                    <m:sty m:val="p"/>
                  </m:rPr>
                  <m:t>ln</m:t>
                </m:r>
                <m:d>
                  <m:dPr>
                    <m:begChr m:val="("/>
                    <m:endChr m:val=")"/>
                    <m:sepChr m:val=""/>
                    <m:grow/>
                  </m:dPr>
                  <m:e>
                    <m:sSub>
                      <m:e>
                        <m:r>
                          <m:t>θ</m:t>
                        </m:r>
                      </m:e>
                      <m:sub>
                        <m:r>
                          <m:t>k</m:t>
                        </m:r>
                        <m:r>
                          <m:t>j</m:t>
                        </m:r>
                      </m:sub>
                    </m:sSub>
                    <m:r>
                      <m:rPr>
                        <m:sty m:val="p"/>
                      </m:rPr>
                      <m:t>/</m:t>
                    </m:r>
                    <m:d>
                      <m:dPr>
                        <m:begChr m:val="("/>
                        <m:endChr m:val=")"/>
                        <m:sepChr m:val=""/>
                        <m:grow/>
                      </m:dPr>
                      <m:e>
                        <m:r>
                          <m:t>1</m:t>
                        </m:r>
                        <m:r>
                          <m:rPr>
                            <m:sty m:val="p"/>
                          </m:rPr>
                          <m:t>−</m:t>
                        </m:r>
                        <m:sSub>
                          <m:e>
                            <m:r>
                              <m:t>θ</m:t>
                            </m:r>
                          </m:e>
                          <m:sub>
                            <m:r>
                              <m:t>k</m:t>
                            </m:r>
                            <m:r>
                              <m:t>j</m:t>
                            </m:r>
                          </m:sub>
                        </m:sSub>
                      </m:e>
                    </m:d>
                  </m:e>
                </m:d>
              </m:e>
              <m:e>
                <m:r>
                  <m:rPr>
                    <m:sty m:val="p"/>
                  </m:rPr>
                  <m:t>=</m:t>
                </m:r>
                <m:sSubSup>
                  <m:e>
                    <m:r>
                      <m:rPr>
                        <m:sty m:val="b"/>
                      </m:rPr>
                      <m:t>x</m:t>
                    </m:r>
                  </m:e>
                  <m:sub>
                    <m:r>
                      <m:t>k</m:t>
                    </m:r>
                    <m:r>
                      <m:t>j</m:t>
                    </m:r>
                  </m:sub>
                  <m:sup>
                    <m:r>
                      <m:rPr>
                        <m:sty m:val="p"/>
                      </m:rPr>
                      <m:t>⊤</m:t>
                    </m:r>
                  </m:sup>
                </m:sSubSup>
                <m:r>
                  <m:rPr>
                    <m:sty m:val="b"/>
                  </m:rPr>
                  <m:t>β</m:t>
                </m:r>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r>
                  <m:t>p</m:t>
                </m:r>
                <m:d>
                  <m:dPr>
                    <m:begChr m:val="("/>
                    <m:endChr m:val=")"/>
                    <m:sepChr m:val=""/>
                    <m:grow/>
                  </m:dPr>
                  <m:e>
                    <m:sSub>
                      <m:e>
                        <m:r>
                          <m:rPr>
                            <m:sty m:val="b"/>
                          </m:rPr>
                          <m:t>β</m:t>
                        </m:r>
                      </m:e>
                      <m:sub>
                        <m:r>
                          <m:t>p</m:t>
                        </m:r>
                      </m:sub>
                    </m:sSub>
                  </m:e>
                </m:d>
              </m:e>
              <m:e>
                <m:r>
                  <m:rPr>
                    <m:sty m:val="p"/>
                  </m:rPr>
                  <m:t>∝</m:t>
                </m:r>
                <m:r>
                  <m:t>1</m:t>
                </m:r>
                <m:r>
                  <m:rPr>
                    <m:sty m:val="p"/>
                  </m:rPr>
                  <m:t>,</m:t>
                </m:r>
                <m:r>
                  <m:t> </m:t>
                </m:r>
                <m:r>
                  <m:rPr>
                    <m:sty m:val="p"/>
                  </m:rPr>
                  <m:t>−</m:t>
                </m:r>
                <m:r>
                  <m:rPr>
                    <m:sty m:val="p"/>
                  </m:rPr>
                  <m:t>∞</m:t>
                </m:r>
                <m:r>
                  <m:rPr>
                    <m:sty m:val="p"/>
                  </m:rPr>
                  <m:t>&lt;</m:t>
                </m:r>
                <m:sSub>
                  <m:e>
                    <m:r>
                      <m:t>β</m:t>
                    </m:r>
                  </m:e>
                  <m:sub>
                    <m:r>
                      <m:t>p</m:t>
                    </m:r>
                  </m:sub>
                </m:sSub>
                <m:r>
                  <m:rPr>
                    <m:sty m:val="p"/>
                  </m:rPr>
                  <m:t>&lt;</m:t>
                </m:r>
                <m:r>
                  <m:rPr>
                    <m:sty m:val="p"/>
                  </m:rPr>
                  <m:t>∞</m:t>
                </m:r>
                <m:r>
                  <m:rPr>
                    <m:sty m:val="p"/>
                  </m:rPr>
                  <m:t>,</m:t>
                </m:r>
                <m:r>
                  <m:t> </m:t>
                </m:r>
                <m:r>
                  <m:t>p</m:t>
                </m:r>
                <m:r>
                  <m:rPr>
                    <m:sty m:val="p"/>
                  </m:rPr>
                  <m:t>=</m:t>
                </m:r>
                <m:r>
                  <m:t>0</m:t>
                </m:r>
                <m:r>
                  <m:rPr>
                    <m:sty m:val="p"/>
                  </m:rPr>
                  <m:t>,</m:t>
                </m:r>
                <m:r>
                  <m:rPr>
                    <m:sty m:val="p"/>
                  </m:rPr>
                  <m:t>.</m:t>
                </m:r>
                <m:r>
                  <m:rPr>
                    <m:sty m:val="p"/>
                  </m:rPr>
                  <m:t>.</m:t>
                </m:r>
                <m:r>
                  <m:rPr>
                    <m:sty m:val="p"/>
                  </m:rPr>
                  <m:t>,</m:t>
                </m:r>
                <m:r>
                  <m:t>6</m:t>
                </m:r>
              </m:e>
            </m:mr>
          </m:m>
        </m:oMath>
      </m:oMathPara>
    </w:p>
    <w:p>
      <w:pPr>
        <w:pStyle w:val="Normal"/>
      </w:pPr>
      <m:oMathPara>
        <m:oMathParaPr>
          <m:jc m:val="center"/>
        </m:oMathParaPr>
        <m:oMath>
          <m:m>
            <m:mPr>
              <m:baseJc m:val="center"/>
              <m:plcHide m:val="1"/>
              <m:mcs>
                <m:mc>
                  <m:mcPr>
                    <m:mcJc m:val="right"/>
                    <m:count m:val="1"/>
                  </m:mcPr>
                </m:mc>
                <m:mc>
                  <m:mcPr>
                    <m:mcJc m:val="left"/>
                    <m:count m:val="1"/>
                  </m:mcPr>
                </m:mc>
              </m:mcs>
            </m:mPr>
            <m:mr>
              <m:e>
                <m:sSub>
                  <m:e>
                    <m:r>
                      <m:t>y</m:t>
                    </m:r>
                  </m:e>
                  <m:sub>
                    <m:r>
                      <m:t>k</m:t>
                    </m:r>
                    <m:r>
                      <m:t>j</m:t>
                    </m:r>
                  </m:sub>
                </m:sSub>
              </m:e>
              <m:e>
                <m:r>
                  <m:rPr>
                    <m:sty m:val="p"/>
                  </m:rPr>
                  <m:t>∼</m:t>
                </m:r>
                <m:r>
                  <m:rPr>
                    <m:nor/>
                    <m:sty m:val="p"/>
                  </m:rPr>
                  <m:t>Binomial</m:t>
                </m:r>
                <m:d>
                  <m:dPr>
                    <m:begChr m:val="("/>
                    <m:endChr m:val=")"/>
                    <m:sepChr m:val=""/>
                    <m:grow/>
                  </m:dPr>
                  <m:e>
                    <m:sSub>
                      <m:e>
                        <m:r>
                          <m:t>n</m:t>
                        </m:r>
                      </m:e>
                      <m:sub>
                        <m:r>
                          <m:t>k</m:t>
                        </m:r>
                        <m:r>
                          <m:t>j</m:t>
                        </m:r>
                      </m:sub>
                    </m:sSub>
                    <m:r>
                      <m:rPr>
                        <m:sty m:val="p"/>
                      </m:rPr>
                      <m:t>,</m:t>
                    </m:r>
                    <m:sSub>
                      <m:e>
                        <m:r>
                          <m:t>θ</m:t>
                        </m:r>
                      </m:e>
                      <m:sub>
                        <m:r>
                          <m:t>k</m:t>
                        </m:r>
                        <m:r>
                          <m:t>j</m:t>
                        </m:r>
                      </m:sub>
                    </m:sSub>
                  </m:e>
                </m:d>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r>
                  <m:rPr>
                    <m:sty m:val="p"/>
                  </m:rPr>
                  <m:t>ln</m:t>
                </m:r>
                <m:d>
                  <m:dPr>
                    <m:begChr m:val="("/>
                    <m:endChr m:val=")"/>
                    <m:sepChr m:val=""/>
                    <m:grow/>
                  </m:dPr>
                  <m:e>
                    <m:sSub>
                      <m:e>
                        <m:r>
                          <m:t>θ</m:t>
                        </m:r>
                      </m:e>
                      <m:sub>
                        <m:r>
                          <m:t>k</m:t>
                        </m:r>
                        <m:r>
                          <m:t>j</m:t>
                        </m:r>
                      </m:sub>
                    </m:sSub>
                    <m:r>
                      <m:rPr>
                        <m:sty m:val="p"/>
                      </m:rPr>
                      <m:t>/</m:t>
                    </m:r>
                    <m:d>
                      <m:dPr>
                        <m:begChr m:val="("/>
                        <m:endChr m:val=")"/>
                        <m:sepChr m:val=""/>
                        <m:grow/>
                      </m:dPr>
                      <m:e>
                        <m:r>
                          <m:t>1</m:t>
                        </m:r>
                        <m:r>
                          <m:rPr>
                            <m:sty m:val="p"/>
                          </m:rPr>
                          <m:t>−</m:t>
                        </m:r>
                        <m:sSub>
                          <m:e>
                            <m:r>
                              <m:t>θ</m:t>
                            </m:r>
                          </m:e>
                          <m:sub>
                            <m:r>
                              <m:t>k</m:t>
                            </m:r>
                            <m:r>
                              <m:t>j</m:t>
                            </m:r>
                          </m:sub>
                        </m:sSub>
                      </m:e>
                    </m:d>
                  </m:e>
                </m:d>
              </m:e>
              <m:e>
                <m:r>
                  <m:rPr>
                    <m:sty m:val="p"/>
                  </m:rPr>
                  <m:t>=</m:t>
                </m:r>
                <m:sSubSup>
                  <m:e>
                    <m:r>
                      <m:rPr>
                        <m:sty m:val="b"/>
                      </m:rPr>
                      <m:t>x</m:t>
                    </m:r>
                  </m:e>
                  <m:sub>
                    <m:r>
                      <m:t>k</m:t>
                    </m:r>
                    <m:r>
                      <m:t>j</m:t>
                    </m:r>
                  </m:sub>
                  <m:sup>
                    <m:r>
                      <m:rPr>
                        <m:sty m:val="p"/>
                      </m:rPr>
                      <m:t>⊤</m:t>
                    </m:r>
                  </m:sup>
                </m:sSubSup>
                <m:r>
                  <m:rPr>
                    <m:sty m:val="b"/>
                  </m:rPr>
                  <m:t>β</m:t>
                </m:r>
                <m:r>
                  <m:rPr>
                    <m:sty m:val="p"/>
                  </m:rPr>
                  <m:t>+</m:t>
                </m:r>
                <m:sSub>
                  <m:e>
                    <m:r>
                      <m:t>α</m:t>
                    </m:r>
                  </m:e>
                  <m:sub>
                    <m:r>
                      <m:t>k</m:t>
                    </m:r>
                  </m:sub>
                </m:sSub>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r>
                  <m:t>p</m:t>
                </m:r>
                <m:d>
                  <m:dPr>
                    <m:begChr m:val="("/>
                    <m:endChr m:val=")"/>
                    <m:sepChr m:val=""/>
                    <m:grow/>
                  </m:dPr>
                  <m:e>
                    <m:sSub>
                      <m:e>
                        <m:r>
                          <m:rPr>
                            <m:sty m:val="b"/>
                          </m:rPr>
                          <m:t>β</m:t>
                        </m:r>
                      </m:e>
                      <m:sub>
                        <m:r>
                          <m:t>p</m:t>
                        </m:r>
                      </m:sub>
                    </m:sSub>
                  </m:e>
                </m:d>
              </m:e>
              <m:e>
                <m:r>
                  <m:rPr>
                    <m:sty m:val="p"/>
                  </m:rPr>
                  <m:t>∝</m:t>
                </m:r>
                <m:r>
                  <m:t>1</m:t>
                </m:r>
                <m:r>
                  <m:rPr>
                    <m:sty m:val="p"/>
                  </m:rPr>
                  <m:t>,</m:t>
                </m:r>
                <m:r>
                  <m:t> </m:t>
                </m:r>
                <m:r>
                  <m:rPr>
                    <m:sty m:val="p"/>
                  </m:rPr>
                  <m:t>−</m:t>
                </m:r>
                <m:r>
                  <m:rPr>
                    <m:sty m:val="p"/>
                  </m:rPr>
                  <m:t>∞</m:t>
                </m:r>
                <m:r>
                  <m:rPr>
                    <m:sty m:val="p"/>
                  </m:rPr>
                  <m:t>&lt;</m:t>
                </m:r>
                <m:sSub>
                  <m:e>
                    <m:r>
                      <m:t>β</m:t>
                    </m:r>
                  </m:e>
                  <m:sub>
                    <m:r>
                      <m:t>p</m:t>
                    </m:r>
                  </m:sub>
                </m:sSub>
                <m:r>
                  <m:rPr>
                    <m:sty m:val="p"/>
                  </m:rPr>
                  <m:t>&lt;</m:t>
                </m:r>
                <m:r>
                  <m:rPr>
                    <m:sty m:val="p"/>
                  </m:rPr>
                  <m:t>∞</m:t>
                </m:r>
                <m:r>
                  <m:rPr>
                    <m:sty m:val="p"/>
                  </m:rPr>
                  <m:t>,</m:t>
                </m:r>
                <m:r>
                  <m:t> </m:t>
                </m:r>
                <m:r>
                  <m:t>p</m:t>
                </m:r>
                <m:r>
                  <m:rPr>
                    <m:sty m:val="p"/>
                  </m:rPr>
                  <m:t>=</m:t>
                </m:r>
                <m:r>
                  <m:t>0</m:t>
                </m:r>
                <m:r>
                  <m:rPr>
                    <m:sty m:val="p"/>
                  </m:rPr>
                  <m:t>,</m:t>
                </m:r>
                <m:r>
                  <m:rPr>
                    <m:sty m:val="p"/>
                  </m:rPr>
                  <m:t>.</m:t>
                </m:r>
                <m:r>
                  <m:rPr>
                    <m:sty m:val="p"/>
                  </m:rPr>
                  <m:t>.</m:t>
                </m:r>
                <m:r>
                  <m:rPr>
                    <m:sty m:val="p"/>
                  </m:rPr>
                  <m:t>,</m:t>
                </m:r>
                <m:r>
                  <m:t>6</m:t>
                </m:r>
              </m:e>
            </m:mr>
            <m:mr>
              <m:e>
                <m:sSub>
                  <m:e>
                    <m:r>
                      <m:t>α</m:t>
                    </m:r>
                  </m:e>
                  <m:sub>
                    <m:r>
                      <m:t>k</m:t>
                    </m:r>
                  </m:sub>
                </m:sSub>
              </m:e>
              <m:e>
                <m:r>
                  <m:rPr>
                    <m:sty m:val="p"/>
                  </m:rPr>
                  <m:t>∼</m:t>
                </m:r>
                <m:r>
                  <m:t>N</m:t>
                </m:r>
                <m:d>
                  <m:dPr>
                    <m:begChr m:val="("/>
                    <m:endChr m:val=")"/>
                    <m:sepChr m:val=""/>
                    <m:grow/>
                  </m:dPr>
                  <m:e>
                    <m:sSub>
                      <m:e>
                        <m:r>
                          <m:t>α</m:t>
                        </m:r>
                      </m:e>
                      <m:sub>
                        <m:r>
                          <m:t>0</m:t>
                        </m:r>
                      </m:sub>
                    </m:sSub>
                    <m:r>
                      <m:rPr>
                        <m:sty m:val="p"/>
                      </m:rPr>
                      <m:t>,</m:t>
                    </m:r>
                    <m:sSub>
                      <m:e>
                        <m:r>
                          <m:t>σ</m:t>
                        </m:r>
                      </m:e>
                      <m:sub>
                        <m:r>
                          <m:t>k</m:t>
                        </m:r>
                      </m:sub>
                    </m:sSub>
                  </m:e>
                </m:d>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e>
            </m:mr>
            <m:mr>
              <m:e>
                <m:sSub>
                  <m:e>
                    <m:r>
                      <m:t>α</m:t>
                    </m:r>
                  </m:e>
                  <m:sub>
                    <m:r>
                      <m:t>0</m:t>
                    </m:r>
                  </m:sub>
                </m:sSub>
              </m:e>
              <m:e>
                <m:r>
                  <m:rPr>
                    <m:sty m:val="p"/>
                  </m:rPr>
                  <m:t>∼</m:t>
                </m:r>
                <m:r>
                  <m:t>t</m:t>
                </m:r>
                <m:d>
                  <m:dPr>
                    <m:begChr m:val="("/>
                    <m:endChr m:val=")"/>
                    <m:sepChr m:val=""/>
                    <m:grow/>
                  </m:dPr>
                  <m:e>
                    <m:r>
                      <m:t>3</m:t>
                    </m:r>
                    <m:r>
                      <m:rPr>
                        <m:sty m:val="p"/>
                      </m:rPr>
                      <m:t>,</m:t>
                    </m:r>
                    <m:r>
                      <m:t>0</m:t>
                    </m:r>
                    <m:r>
                      <m:rPr>
                        <m:sty m:val="p"/>
                      </m:rPr>
                      <m:t>,</m:t>
                    </m:r>
                    <m:r>
                      <m:t>2.5</m:t>
                    </m:r>
                  </m:e>
                </m:d>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e>
            </m:mr>
            <m:mr>
              <m:e>
                <m:sSub>
                  <m:e>
                    <m:r>
                      <m:t>σ</m:t>
                    </m:r>
                  </m:e>
                  <m:sub>
                    <m:r>
                      <m:t>k</m:t>
                    </m:r>
                  </m:sub>
                </m:sSub>
              </m:e>
              <m:e>
                <m:r>
                  <m:rPr>
                    <m:sty m:val="p"/>
                  </m:rPr>
                  <m:t>∼</m:t>
                </m:r>
                <m:r>
                  <m:t>t</m:t>
                </m:r>
                <m:d>
                  <m:dPr>
                    <m:begChr m:val="("/>
                    <m:endChr m:val=")"/>
                    <m:sepChr m:val=""/>
                    <m:grow/>
                  </m:dPr>
                  <m:e>
                    <m:r>
                      <m:t>3</m:t>
                    </m:r>
                    <m:r>
                      <m:rPr>
                        <m:sty m:val="p"/>
                      </m:rPr>
                      <m:t>,</m:t>
                    </m:r>
                    <m:r>
                      <m:t>0</m:t>
                    </m:r>
                    <m:r>
                      <m:rPr>
                        <m:sty m:val="p"/>
                      </m:rPr>
                      <m:t>,</m:t>
                    </m:r>
                    <m:r>
                      <m:t>2.5</m:t>
                    </m:r>
                  </m:e>
                </m:d>
                <m:r>
                  <m:rPr>
                    <m:sty m:val="p"/>
                  </m:rPr>
                  <m:t>,</m:t>
                </m:r>
                <m:r>
                  <m:t> </m:t>
                </m:r>
                <m:sSub>
                  <m:e>
                    <m:r>
                      <m:t>σ</m:t>
                    </m:r>
                  </m:e>
                  <m:sub>
                    <m:r>
                      <m:t>k</m:t>
                    </m:r>
                  </m:sub>
                </m:sSub>
                <m:r>
                  <m:rPr>
                    <m:sty m:val="p"/>
                  </m:rPr>
                  <m:t>&gt;</m:t>
                </m:r>
                <m:r>
                  <m:t>0</m:t>
                </m:r>
                <m:r>
                  <m:rPr>
                    <m:sty m:val="p"/>
                  </m:rPr>
                  <m:t>,</m:t>
                </m:r>
                <m:r>
                  <m:t> </m:t>
                </m:r>
                <m:r>
                  <m:t>k</m:t>
                </m:r>
                <m:r>
                  <m:rPr>
                    <m:sty m:val="p"/>
                  </m:rPr>
                  <m:t>=</m:t>
                </m:r>
                <m:r>
                  <m:t>1</m:t>
                </m:r>
                <m:r>
                  <m:rPr>
                    <m:sty m:val="p"/>
                  </m:rPr>
                  <m:t>,</m:t>
                </m:r>
                <m:r>
                  <m:rPr>
                    <m:sty m:val="p"/>
                  </m:rPr>
                  <m:t>.</m:t>
                </m:r>
                <m:r>
                  <m:rPr>
                    <m:sty m:val="p"/>
                  </m:rPr>
                  <m:t>.</m:t>
                </m:r>
                <m:r>
                  <m:rPr>
                    <m:sty m:val="p"/>
                  </m:rPr>
                  <m:t>.</m:t>
                </m:r>
                <m:r>
                  <m:rPr>
                    <m:sty m:val="p"/>
                  </m:rPr>
                  <m:t>,</m:t>
                </m:r>
                <m:r>
                  <m:t>K</m:t>
                </m:r>
              </m:e>
            </m:mr>
          </m:m>
        </m:oMath>
      </m:oMathPara>
    </w:p>
    <w:p>
      <w:pPr>
        <w:pStyle w:val="Normal"/>
      </w:pPr>
      <m:oMathPara>
        <m:oMathParaPr>
          <m:jc m:val="center"/>
        </m:oMathParaPr>
        <m:oMath>
          <m:m>
            <m:mPr>
              <m:baseJc m:val="center"/>
              <m:plcHide m:val="1"/>
              <m:mcs>
                <m:mc>
                  <m:mcPr>
                    <m:mcJc m:val="right"/>
                    <m:count m:val="1"/>
                  </m:mcPr>
                </m:mc>
                <m:mc>
                  <m:mcPr>
                    <m:mcJc m:val="left"/>
                    <m:count m:val="1"/>
                  </m:mcPr>
                </m:mc>
              </m:mcs>
            </m:mPr>
            <m:mr>
              <m:e>
                <m:sSub>
                  <m:e>
                    <m:r>
                      <m:t>y</m:t>
                    </m:r>
                  </m:e>
                  <m:sub>
                    <m:r>
                      <m:t>k</m:t>
                    </m:r>
                    <m:r>
                      <m:t>j</m:t>
                    </m:r>
                  </m:sub>
                </m:sSub>
              </m:e>
              <m:e>
                <m:r>
                  <m:rPr>
                    <m:sty m:val="p"/>
                  </m:rPr>
                  <m:t>∼</m:t>
                </m:r>
                <m:r>
                  <m:rPr>
                    <m:nor/>
                    <m:sty m:val="p"/>
                  </m:rPr>
                  <m:t>Binomial</m:t>
                </m:r>
                <m:d>
                  <m:dPr>
                    <m:begChr m:val="("/>
                    <m:endChr m:val=")"/>
                    <m:sepChr m:val=""/>
                    <m:grow/>
                  </m:dPr>
                  <m:e>
                    <m:sSub>
                      <m:e>
                        <m:r>
                          <m:t>n</m:t>
                        </m:r>
                      </m:e>
                      <m:sub>
                        <m:r>
                          <m:t>k</m:t>
                        </m:r>
                        <m:r>
                          <m:t>j</m:t>
                        </m:r>
                      </m:sub>
                    </m:sSub>
                    <m:r>
                      <m:rPr>
                        <m:sty m:val="p"/>
                      </m:rPr>
                      <m:t>,</m:t>
                    </m:r>
                    <m:sSub>
                      <m:e>
                        <m:r>
                          <m:t>θ</m:t>
                        </m:r>
                      </m:e>
                      <m:sub>
                        <m:r>
                          <m:t>k</m:t>
                        </m:r>
                        <m:r>
                          <m:t>j</m:t>
                        </m:r>
                      </m:sub>
                    </m:sSub>
                  </m:e>
                </m:d>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mr>
            <m:mr>
              <m:e>
                <m:r>
                  <m:rPr>
                    <m:sty m:val="p"/>
                  </m:rPr>
                  <m:t>ln</m:t>
                </m:r>
                <m:d>
                  <m:dPr>
                    <m:begChr m:val="("/>
                    <m:endChr m:val=")"/>
                    <m:sepChr m:val=""/>
                    <m:grow/>
                  </m:dPr>
                  <m:e>
                    <m:sSub>
                      <m:e>
                        <m:r>
                          <m:t>θ</m:t>
                        </m:r>
                      </m:e>
                      <m:sub>
                        <m:r>
                          <m:t>k</m:t>
                        </m:r>
                        <m:r>
                          <m:t>j</m:t>
                        </m:r>
                      </m:sub>
                    </m:sSub>
                    <m:r>
                      <m:rPr>
                        <m:sty m:val="p"/>
                      </m:rPr>
                      <m:t>/</m:t>
                    </m:r>
                    <m:d>
                      <m:dPr>
                        <m:begChr m:val="("/>
                        <m:endChr m:val=")"/>
                        <m:sepChr m:val=""/>
                        <m:grow/>
                      </m:dPr>
                      <m:e>
                        <m:r>
                          <m:t>1</m:t>
                        </m:r>
                        <m:r>
                          <m:rPr>
                            <m:sty m:val="p"/>
                          </m:rPr>
                          <m:t>−</m:t>
                        </m:r>
                        <m:sSub>
                          <m:e>
                            <m:r>
                              <m:t>θ</m:t>
                            </m:r>
                          </m:e>
                          <m:sub>
                            <m:r>
                              <m:t>k</m:t>
                            </m:r>
                            <m:r>
                              <m:t>j</m:t>
                            </m:r>
                          </m:sub>
                        </m:sSub>
                      </m:e>
                    </m:d>
                  </m:e>
                </m:d>
              </m:e>
              <m:e>
                <m:r>
                  <m:rPr>
                    <m:sty m:val="p"/>
                  </m:rPr>
                  <m:t>=</m:t>
                </m:r>
                <m:sSubSup>
                  <m:e>
                    <m:r>
                      <m:rPr>
                        <m:sty m:val="b"/>
                      </m:rPr>
                      <m:t>x</m:t>
                    </m:r>
                  </m:e>
                  <m:sub>
                    <m:r>
                      <m:t>k</m:t>
                    </m:r>
                    <m:r>
                      <m:t>j</m:t>
                    </m:r>
                  </m:sub>
                  <m:sup>
                    <m:r>
                      <m:rPr>
                        <m:sty m:val="p"/>
                      </m:rPr>
                      <m:t>⊤</m:t>
                    </m:r>
                  </m:sup>
                </m:sSubSup>
                <m:r>
                  <m:rPr>
                    <m:sty m:val="b"/>
                  </m:rPr>
                  <m:t>β</m:t>
                </m:r>
                <m:r>
                  <m:rPr>
                    <m:sty m:val="p"/>
                  </m:rPr>
                  <m:t>+</m:t>
                </m:r>
                <m:sSub>
                  <m:e>
                    <m:r>
                      <m:t>ϕ</m:t>
                    </m:r>
                  </m:e>
                  <m:sub>
                    <m:r>
                      <m:t>k</m:t>
                    </m:r>
                  </m:sub>
                </m:sSub>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r>
                  <m:t> </m:t>
                </m:r>
                <m:r>
                  <m:t>j</m:t>
                </m:r>
                <m:r>
                  <m:rPr>
                    <m:sty m:val="p"/>
                  </m:rPr>
                  <m:t>=</m:t>
                </m:r>
                <m:r>
                  <m:t>1</m:t>
                </m:r>
                <m:r>
                  <m:rPr>
                    <m:sty m:val="p"/>
                  </m:rPr>
                  <m:t>,</m:t>
                </m:r>
                <m:r>
                  <m:rPr>
                    <m:sty m:val="p"/>
                  </m:rPr>
                  <m:t>.</m:t>
                </m:r>
                <m:r>
                  <m:rPr>
                    <m:sty m:val="p"/>
                  </m:rPr>
                  <m:t>.</m:t>
                </m:r>
                <m:r>
                  <m:rPr>
                    <m:sty m:val="p"/>
                  </m:rPr>
                  <m:t>.</m:t>
                </m:r>
                <m:r>
                  <m:rPr>
                    <m:sty m:val="p"/>
                  </m:rPr>
                  <m:t>,</m:t>
                </m:r>
                <m:sSub>
                  <m:e>
                    <m:r>
                      <m:t>n</m:t>
                    </m:r>
                  </m:e>
                  <m:sub>
                    <m:r>
                      <m:t>k</m:t>
                    </m:r>
                  </m:sub>
                </m:sSub>
              </m:e>
            </m:mr>
            <m:mr>
              <m:e/>
            </m:mr>
            <m:mr>
              <m:e>
                <m:r>
                  <m:t>p</m:t>
                </m:r>
                <m:d>
                  <m:dPr>
                    <m:begChr m:val="("/>
                    <m:endChr m:val=")"/>
                    <m:sepChr m:val=""/>
                    <m:grow/>
                  </m:dPr>
                  <m:e>
                    <m:sSub>
                      <m:e>
                        <m:r>
                          <m:rPr>
                            <m:sty m:val="b"/>
                          </m:rPr>
                          <m:t>β</m:t>
                        </m:r>
                      </m:e>
                      <m:sub>
                        <m:r>
                          <m:t>p</m:t>
                        </m:r>
                      </m:sub>
                    </m:sSub>
                  </m:e>
                </m:d>
              </m:e>
              <m:e>
                <m:r>
                  <m:rPr>
                    <m:sty m:val="p"/>
                  </m:rPr>
                  <m:t>∝</m:t>
                </m:r>
                <m:r>
                  <m:t>1</m:t>
                </m:r>
                <m:r>
                  <m:rPr>
                    <m:sty m:val="p"/>
                  </m:rPr>
                  <m:t>,</m:t>
                </m:r>
                <m:r>
                  <m:t> </m:t>
                </m:r>
                <m:r>
                  <m:rPr>
                    <m:sty m:val="p"/>
                  </m:rPr>
                  <m:t>−</m:t>
                </m:r>
                <m:r>
                  <m:rPr>
                    <m:sty m:val="p"/>
                  </m:rPr>
                  <m:t>∞</m:t>
                </m:r>
                <m:r>
                  <m:rPr>
                    <m:sty m:val="p"/>
                  </m:rPr>
                  <m:t>&lt;</m:t>
                </m:r>
                <m:sSub>
                  <m:e>
                    <m:r>
                      <m:t>β</m:t>
                    </m:r>
                  </m:e>
                  <m:sub>
                    <m:r>
                      <m:t>p</m:t>
                    </m:r>
                  </m:sub>
                </m:sSub>
                <m:r>
                  <m:rPr>
                    <m:sty m:val="p"/>
                  </m:rPr>
                  <m:t>&lt;</m:t>
                </m:r>
                <m:r>
                  <m:rPr>
                    <m:sty m:val="p"/>
                  </m:rPr>
                  <m:t>∞</m:t>
                </m:r>
                <m:r>
                  <m:rPr>
                    <m:sty m:val="p"/>
                  </m:rPr>
                  <m:t>,</m:t>
                </m:r>
                <m:r>
                  <m:t> </m:t>
                </m:r>
                <m:r>
                  <m:t>p</m:t>
                </m:r>
                <m:r>
                  <m:rPr>
                    <m:sty m:val="p"/>
                  </m:rPr>
                  <m:t>=</m:t>
                </m:r>
                <m:r>
                  <m:t>0</m:t>
                </m:r>
                <m:r>
                  <m:rPr>
                    <m:sty m:val="p"/>
                  </m:rPr>
                  <m:t>,</m:t>
                </m:r>
                <m:r>
                  <m:rPr>
                    <m:sty m:val="p"/>
                  </m:rPr>
                  <m:t>.</m:t>
                </m:r>
                <m:r>
                  <m:rPr>
                    <m:sty m:val="p"/>
                  </m:rPr>
                  <m:t>.</m:t>
                </m:r>
                <m:r>
                  <m:rPr>
                    <m:sty m:val="p"/>
                  </m:rPr>
                  <m:t>,</m:t>
                </m:r>
                <m:r>
                  <m:t>6</m:t>
                </m:r>
              </m:e>
            </m:mr>
            <m:mr>
              <m:e>
                <m:sSub>
                  <m:e>
                    <m:r>
                      <m:t>ϕ</m:t>
                    </m:r>
                  </m:e>
                  <m:sub>
                    <m:r>
                      <m:t>k</m:t>
                    </m:r>
                  </m:sub>
                </m:sSub>
                <m:r>
                  <m:rPr>
                    <m:sty m:val="p"/>
                  </m:rPr>
                  <m:t>|</m:t>
                </m:r>
                <m:sSub>
                  <m:e>
                    <m:r>
                      <m:t>ϕ</m:t>
                    </m:r>
                  </m:e>
                  <m:sub>
                    <m:r>
                      <m:t>i</m:t>
                    </m:r>
                  </m:sub>
                </m:sSub>
                <m:r>
                  <m:rPr>
                    <m:sty m:val="p"/>
                  </m:rPr>
                  <m:t>,</m:t>
                </m:r>
                <m:r>
                  <m:t>i</m:t>
                </m:r>
                <m:r>
                  <m:rPr>
                    <m:sty m:val="p"/>
                  </m:rPr>
                  <m:t>≠</m:t>
                </m:r>
                <m:r>
                  <m:t>k</m:t>
                </m:r>
                <m:r>
                  <m:rPr>
                    <m:sty m:val="p"/>
                  </m:rPr>
                  <m:t>,</m:t>
                </m:r>
                <m:sSub>
                  <m:e>
                    <m:r>
                      <m:t>τ</m:t>
                    </m:r>
                  </m:e>
                  <m:sub>
                    <m:r>
                      <m:t>k</m:t>
                    </m:r>
                  </m:sub>
                </m:sSub>
              </m:e>
              <m:e>
                <m:r>
                  <m:rPr>
                    <m:sty m:val="p"/>
                  </m:rPr>
                  <m:t>∼</m:t>
                </m:r>
                <m:r>
                  <m:t>N</m:t>
                </m:r>
                <m:d>
                  <m:dPr>
                    <m:begChr m:val="("/>
                    <m:endChr m:val=")"/>
                    <m:sepChr m:val=""/>
                    <m:grow/>
                  </m:dPr>
                  <m:e>
                    <m:f>
                      <m:fPr>
                        <m:type m:val="bar"/>
                      </m:fPr>
                      <m:num>
                        <m:nary>
                          <m:naryPr>
                            <m:chr m:val="∑"/>
                            <m:limLoc m:val="undOvr"/>
                            <m:subHide m:val="0"/>
                            <m:supHide m:val="1"/>
                          </m:naryPr>
                          <m:sub>
                            <m:r>
                              <m:t>k</m:t>
                            </m:r>
                            <m:r>
                              <m:rPr>
                                <m:sty m:val="p"/>
                              </m:rPr>
                              <m:t>∼</m:t>
                            </m:r>
                            <m:r>
                              <m:t>i</m:t>
                            </m:r>
                          </m:sub>
                          <m:sup>
                            <m:r>
                              <m:t>​</m:t>
                            </m:r>
                          </m:sup>
                          <m:e>
                            <m:sSub>
                              <m:e>
                                <m:r>
                                  <m:t>ϕ</m:t>
                                </m:r>
                              </m:e>
                              <m:sub>
                                <m:r>
                                  <m:t>k</m:t>
                                </m:r>
                              </m:sub>
                            </m:sSub>
                          </m:e>
                        </m:nary>
                      </m:num>
                      <m:den>
                        <m:sSub>
                          <m:e>
                            <m:r>
                              <m:t>d</m:t>
                            </m:r>
                          </m:e>
                          <m:sub>
                            <m:r>
                              <m:t>k</m:t>
                            </m:r>
                            <m:r>
                              <m:rPr>
                                <m:sty m:val="p"/>
                              </m:rPr>
                              <m:t>,</m:t>
                            </m:r>
                            <m:r>
                              <m:t>k</m:t>
                            </m:r>
                          </m:sub>
                        </m:sSub>
                      </m:den>
                    </m:f>
                    <m:r>
                      <m:rPr>
                        <m:sty m:val="p"/>
                      </m:rPr>
                      <m:t>,</m:t>
                    </m:r>
                    <m:f>
                      <m:fPr>
                        <m:type m:val="bar"/>
                      </m:fPr>
                      <m:num>
                        <m:r>
                          <m:t>1</m:t>
                        </m:r>
                      </m:num>
                      <m:den>
                        <m:sSub>
                          <m:e>
                            <m:r>
                              <m:t>d</m:t>
                            </m:r>
                          </m:e>
                          <m:sub>
                            <m:r>
                              <m:t>k</m:t>
                            </m:r>
                            <m:r>
                              <m:rPr>
                                <m:sty m:val="p"/>
                              </m:rPr>
                              <m:t>,</m:t>
                            </m:r>
                            <m:r>
                              <m:t>k</m:t>
                            </m:r>
                          </m:sub>
                        </m:sSub>
                        <m:sSub>
                          <m:e>
                            <m:r>
                              <m:t>τ</m:t>
                            </m:r>
                          </m:e>
                          <m:sub>
                            <m:r>
                              <m:t>k</m:t>
                            </m:r>
                          </m:sub>
                        </m:sSub>
                      </m:den>
                    </m:f>
                  </m:e>
                </m:d>
                <m:r>
                  <m:rPr>
                    <m:sty m:val="p"/>
                  </m:rPr>
                  <m:t>,</m:t>
                </m:r>
                <m:r>
                  <m:t> </m:t>
                </m:r>
                <m:r>
                  <m:t>k</m:t>
                </m:r>
                <m:r>
                  <m:rPr>
                    <m:sty m:val="p"/>
                  </m:rPr>
                  <m:t>=</m:t>
                </m:r>
                <m:r>
                  <m:t>1</m:t>
                </m:r>
                <m:r>
                  <m:rPr>
                    <m:sty m:val="p"/>
                  </m:rPr>
                  <m:t>,</m:t>
                </m:r>
                <m:r>
                  <m:rPr>
                    <m:sty m:val="p"/>
                  </m:rPr>
                  <m:t>.</m:t>
                </m:r>
                <m:r>
                  <m:rPr>
                    <m:sty m:val="p"/>
                  </m:rPr>
                  <m:t>.</m:t>
                </m:r>
                <m:r>
                  <m:rPr>
                    <m:sty m:val="p"/>
                  </m:rPr>
                  <m:t>.</m:t>
                </m:r>
                <m:r>
                  <m:rPr>
                    <m:sty m:val="p"/>
                  </m:rPr>
                  <m:t>,</m:t>
                </m:r>
                <m:r>
                  <m:t>K</m:t>
                </m:r>
                <m:r>
                  <m:rPr>
                    <m:sty m:val="p"/>
                  </m:rPr>
                  <m:t>,</m:t>
                </m:r>
              </m:e>
            </m:mr>
            <m:mr>
              <m:e>
                <m:sSup>
                  <m:e>
                    <m:d>
                      <m:dPr>
                        <m:begChr m:val="("/>
                        <m:endChr m:val=")"/>
                        <m:sepChr m:val=""/>
                        <m:grow/>
                      </m:dPr>
                      <m:e>
                        <m:r>
                          <m:t>1</m:t>
                        </m:r>
                        <m:r>
                          <m:rPr>
                            <m:sty m:val="p"/>
                          </m:rPr>
                          <m:t>/</m:t>
                        </m:r>
                        <m:sSub>
                          <m:e>
                            <m:r>
                              <m:t>τ</m:t>
                            </m:r>
                          </m:e>
                          <m:sub>
                            <m:r>
                              <m:t>k</m:t>
                            </m:r>
                          </m:sub>
                        </m:sSub>
                      </m:e>
                    </m:d>
                  </m:e>
                  <m:sup>
                    <m:r>
                      <m:t>1</m:t>
                    </m:r>
                    <m:r>
                      <m:rPr>
                        <m:sty m:val="p"/>
                      </m:rPr>
                      <m:t>/</m:t>
                    </m:r>
                    <m:r>
                      <m:t>2</m:t>
                    </m:r>
                  </m:sup>
                </m:sSup>
              </m:e>
              <m:e>
                <m:r>
                  <m:rPr>
                    <m:sty m:val="p"/>
                  </m:rPr>
                  <m:t>∼</m:t>
                </m:r>
                <m:r>
                  <m:t>t</m:t>
                </m:r>
                <m:d>
                  <m:dPr>
                    <m:begChr m:val="("/>
                    <m:endChr m:val=")"/>
                    <m:sepChr m:val=""/>
                    <m:grow/>
                  </m:dPr>
                  <m:e>
                    <m:r>
                      <m:t>3</m:t>
                    </m:r>
                    <m:r>
                      <m:rPr>
                        <m:sty m:val="p"/>
                      </m:rPr>
                      <m:t>,</m:t>
                    </m:r>
                    <m:r>
                      <m:t>0</m:t>
                    </m:r>
                    <m:r>
                      <m:rPr>
                        <m:sty m:val="p"/>
                      </m:rPr>
                      <m:t>,</m:t>
                    </m:r>
                    <m:r>
                      <m:t>2.5</m:t>
                    </m:r>
                  </m:e>
                </m:d>
                <m:r>
                  <m:t> </m:t>
                </m:r>
                <m:r>
                  <m:t>k</m:t>
                </m:r>
                <m:r>
                  <m:rPr>
                    <m:sty m:val="p"/>
                  </m:rPr>
                  <m:t>=</m:t>
                </m:r>
                <m:r>
                  <m:t>1</m:t>
                </m:r>
                <m:r>
                  <m:rPr>
                    <m:sty m:val="p"/>
                  </m:rPr>
                  <m:t>,</m:t>
                </m:r>
                <m:r>
                  <m:rPr>
                    <m:sty m:val="p"/>
                  </m:rPr>
                  <m:t>.</m:t>
                </m:r>
                <m:r>
                  <m:rPr>
                    <m:sty m:val="p"/>
                  </m:rPr>
                  <m:t>.</m:t>
                </m:r>
                <m:r>
                  <m:rPr>
                    <m:sty m:val="p"/>
                  </m:rPr>
                  <m:t>.</m:t>
                </m:r>
                <m:r>
                  <m:rPr>
                    <m:sty m:val="p"/>
                  </m:rPr>
                  <m:t>,</m:t>
                </m:r>
                <m:r>
                  <m:t>K</m:t>
                </m:r>
              </m:e>
            </m:mr>
          </m:m>
        </m:oMath>
      </m:oMathPara>
    </w:p>
    <w:p>
      <w:pPr>
        <w:pStyle w:val="Normal"/>
      </w:pPr>
      <w:r>
        <w:t xml:space="preserve">where</w:t>
      </w:r>
      <w:r>
        <w:t xml:space="preserve"> </w:t>
      </w:r>
      <m:oMath>
        <m:sSub>
          <m:e>
            <m:r>
              <m:t>d</m:t>
            </m:r>
          </m:e>
          <m:sub>
            <m:r>
              <m:t>k</m:t>
            </m:r>
            <m:r>
              <m:rPr>
                <m:sty m:val="p"/>
              </m:rPr>
              <m:t>,</m:t>
            </m:r>
            <m:r>
              <m:t>k</m:t>
            </m:r>
          </m:sub>
        </m:sSub>
      </m:oMath>
      <w:r>
        <w:t xml:space="preserve"> </w:t>
      </w:r>
      <w:r>
        <w:t xml:space="preserve">is the number of neighbors for region</w:t>
      </w:r>
      <w:r>
        <w:t xml:space="preserve"> </w:t>
      </w:r>
      <m:oMath>
        <m:r>
          <m:t>k</m:t>
        </m:r>
      </m:oMath>
      <w:r>
        <w:t xml:space="preserve">. The individual spatial random variable</w:t>
      </w:r>
      <w:r>
        <w:t xml:space="preserve"> </w:t>
      </w:r>
      <m:oMath>
        <m:sSub>
          <m:e>
            <m:r>
              <m:t>ϕ</m:t>
            </m:r>
          </m:e>
          <m:sub>
            <m:r>
              <m:t>k</m:t>
            </m:r>
          </m:sub>
        </m:sSub>
      </m:oMath>
      <w:r>
        <w:t xml:space="preserve"> </w:t>
      </w:r>
      <w:r>
        <w:t xml:space="preserve">which has a set of</w:t>
      </w:r>
      <w:r>
        <w:t xml:space="preserve"> </w:t>
      </w:r>
      <m:oMath>
        <m:sSub>
          <m:e>
            <m:r>
              <m:t>d</m:t>
            </m:r>
          </m:e>
          <m:sub>
            <m:r>
              <m:t>k</m:t>
            </m:r>
            <m:r>
              <m:rPr>
                <m:sty m:val="p"/>
              </m:rPr>
              <m:t>,</m:t>
            </m:r>
            <m:r>
              <m:t>k</m:t>
            </m:r>
          </m:sub>
        </m:sSub>
      </m:oMath>
      <w:r>
        <w:t xml:space="preserve"> </w:t>
      </w:r>
      <w:r>
        <w:t xml:space="preserve">neighbors is normally distributed with a mean equal to the average of its neighbors, with the variance decreases as the number if neighbors increases.</w:t>
      </w:r>
    </w:p>
    <w:p>
      <w:pPr>
        <w:pStyle w:val="BodyText"/>
      </w:pPr>
      <w:r>
        <w:t xml:space="preserve">$$
\begin{align*}
y_{kj} &amp;\sim {\sf Binomial}(n_{kj}, {\theta}_{kj}) \quad k=1, ..., K, \quad j=1,...,n_k\\
\ln({\theta}_{kj}/(1-{\theta}_{kj})) &amp; = \mathbf{x}_{kj}^\top\mathbf{\beta} + \psi_k, \quad k=1,...,K, \quad j=1,...,n_k\\
\mathbf{\beta} &amp;\sim N(\mu_\beta, \Sigma_\beta),\\
\phi&amp;\sim N ( 0, [\tau(D-\alpha W)]^{-1}), \quad \\
\tau &amp;\sim In\\
\end{align*}
$$</w:t>
      </w:r>
    </w:p>
    <w:p>
      <w:pPr>
        <w:pStyle w:val="Normal"/>
      </w:pPr>
      <w:r>
        <w:t xml:space="preserve">We are particularly interested at investigating how the social demographic features influence the SARS-CoV-2 across different regions of Canada for each wave. Besides the demographic or the geographic covariates, time trend is also a significant factor to be taken into account, so we also incorporate the sample month into the regression model. We mainly focus on the comparison of the models utilizing the spatial information. Multilevel Regression with the regular fixed effects, as well as different unstructured or structured random effects (ICAR prior) are evaluated to fit the CBS data across four major regions (Ontario, British Columbia, the Parries region and the Atlantic Region) during three pandemic waves (Pre-delta, Delta &amp; Omicron). We conducted our analysis through brms</w:t>
      </w:r>
      <w:r>
        <w:t xml:space="preserve"> </w:t>
      </w:r>
      <w:r>
        <w:t xml:space="preserve">[17]</w:t>
      </w:r>
      <w:r>
        <w:t xml:space="preserve"> </w:t>
      </w:r>
      <w:r>
        <w:t xml:space="preserve">which allows comparing varies GLM.</w:t>
      </w:r>
    </w:p>
    <w:p>
      <w:pPr>
        <w:pStyle w:val="BodyText"/>
      </w:pPr>
    </w:p>
    <w:bookmarkEnd w:id="26"/>
    <w:bookmarkEnd w:id="27"/>
    <w:bookmarkStart w:id="30" w:name="results"/>
    <w:p>
      <w:pPr>
        <w:pStyle w:val="Heading1"/>
      </w:pPr>
      <w:r>
        <w:t xml:space="preserve">Results</w:t>
      </w:r>
    </w:p>
    <w:p>
      <w:pPr>
        <w:pStyle w:val="Normal"/>
      </w:pPr>
      <w:r>
        <w:t xml:space="preserve">Based on the binary outcome from the anti-N tested results, we fit with generalized linear model with the logit link function. The linear portion of the GLM will incorporate both individual and the areal level covariates, together with sampling month to take care of the increasing trend as the virus spread. It is always challenging to include all the significant factors into the regression model to achieve the best fit, thus a more accurate insight of the coefficient estimation, however spatial correlation among the neighboring counties could be utilized to capture the spatial confounding to obtain a more reliable understanding of each demographic feature. The relationship between the adjacent counties could be incorporated through a conditional autoregressive prior which the probability of observing a positive sample in one area is associated with the SARS-CoV-2 seroprevalance from the areas that share borders. We also fitted with adding the regional random effects which is unstructured just in order to compare with the model with CAR prior. The convergence diagnostic is carefully checked for all the corresponding parameters involved in the Bayesian models, with most of the largest r-hat equal to 1 and several cases reach to 1.01 which rarely observed.</w:t>
      </w:r>
    </w:p>
    <w:bookmarkStart w:id="28" w:name="X9d04029444692d643c429fe227b3a0d1414946b"/>
    <w:p>
      <w:pPr>
        <w:pStyle w:val="Heading2"/>
      </w:pPr>
      <w:r>
        <w:t xml:space="preserve">Predictors of seropositivity by region and wave</w:t>
      </w:r>
    </w:p>
    <w:p>
      <w:pPr>
        <w:pStyle w:val="Normal"/>
      </w:pPr>
      <w:r>
        <w:t xml:space="preserve">Overall, material deprivation seems to be positively associated with seropositivity except for the Atlantic region where a few samples collected, while the social deprivation tends to be negatively associated with the seropositivity. This result in general aligns with the common sense that people living in areas that are least lack of material resources associated with low education, insecure job situation and insufficient incomes, and most socially separated with other people will be less likely to be tested positive. (Figure 1)</w:t>
      </w:r>
    </w:p>
    <w:bookmarkEnd w:id="28"/>
    <w:bookmarkStart w:id="29" w:name="predicitons-by-census-division"/>
    <w:p>
      <w:pPr>
        <w:pStyle w:val="Heading2"/>
      </w:pPr>
      <w:r>
        <w:t xml:space="preserve">Predicitons by census division</w:t>
      </w:r>
    </w:p>
    <w:p>
      <w:pPr>
        <w:pStyle w:val="Normal"/>
      </w:pPr>
      <w:r>
        <w:t xml:space="preserve">Taking the county level estimation from Ontario for example, in general the generalized linear model accounting for the spatial correlation provides more accurate estimation compared to the regular GLM without incorporating any geographic information at all, seeing from the fact that the posterior mean is more closed to the observed value of seropositivity for most of the counties and it always falls within the 95% of the HPD interval from the spatial model. However, the regular GLM fails to capture the true value for certain counties even though regardless of the sample size. Similar results apply for other regions as well (Figure 2).</w:t>
      </w:r>
    </w:p>
    <w:p>
      <w:pPr>
        <w:pStyle w:val="BodyText"/>
      </w:pPr>
    </w:p>
    <w:bookmarkEnd w:id="29"/>
    <w:bookmarkEnd w:id="30"/>
    <w:bookmarkStart w:id="31" w:name="discussion"/>
    <w:p>
      <w:pPr>
        <w:pStyle w:val="Heading1"/>
      </w:pPr>
      <w:r>
        <w:t xml:space="preserve">Discussion</w:t>
      </w:r>
    </w:p>
    <w:p>
      <w:pPr>
        <w:pStyle w:val="Normal"/>
      </w:pPr>
      <w:r>
        <w:t xml:space="preserve">Overall the material deprivation seems to positively associated with the anti-N seropositivity and social deprivation index seems to be negatively associated with the seropositivity for major regions of Canada, though the effect of material and social deprivation is not significant for Ontario, British Columbia (BC) and the Prairies.</w:t>
      </w:r>
      <w:r>
        <w:t xml:space="preserve"> </w:t>
      </w:r>
      <w:r>
        <w:t xml:space="preserve">[18]</w:t>
      </w:r>
      <w:r>
        <w:t xml:space="preserve"> </w:t>
      </w:r>
      <w:r>
        <w:t xml:space="preserve">While for Atlantic region, the sign of the estimation coefficient of the material deprivation is not consistent with the other regions through the pandemic. Typically during the Delta period, it shows a positive effect for the social deprivation and the seropositivity unlike the other regions. This is caused by the fact that fewer data available from the Atlantic region until the omicron started, so the coefficient estimation from the regression model will not be reliable based on small sample. Again except for the Atlantic region which lacks enough sample to provide reliable understanding of the coefficient, regarding the individual characteristics for first two waves of the pandemic, age has significant negative effect on the seropositivity, with the estimation centered around -0.02 for the delta period and -0.03 for the omicron. The coefficients are small due to applying the original scale of the age instead of grouping it into the age categories. Belonging to white racial group tends to be less likely to be tested positive, while the effect is not significant for the prairies region during pre-delta and delta period. Male group are more likely to have significant positive effect on test positive result except for the samples from the prairies region during the delta wave, which presents negative effect in general, being inconsistent with other regions. In conclusion, the younger non-white male tends to have higher seropositivity across all waves.</w:t>
      </w:r>
    </w:p>
    <w:p>
      <w:pPr>
        <w:pStyle w:val="BodyText"/>
      </w:pPr>
      <w:r>
        <w:t xml:space="preserve">In general, the coefficient estimation from the general linear model with/without the structured spatial random effect is much closed and for some circumstances GLM with spatial effect will break the significance of the effect of the material and social deprivation especially for Ontario and BC. However for the individual covariates age, race and sex, the significance of the estimation from different models always remain consistent. Since the material and social deprivation index quantile are all mapped from the census dissemination area level, and urban/rural indicator is calculated from the second digit of the postal code, it makes sense that the areal level covariates are more sensitive to adding the spatial random effect compared to the individual covariates age, race and sex. It is also interesting to find that only for the Prairies living in urban tends to have significant negative association with seropositivity across all the pandemic period. However, except for the estimation for the Atlantic region omicron wave from the glm with spatial effect, living in urban has no significant effect on the seropositivity. Breaking the time period into a three months period across the 24 months during the pandemic allows us to take a further look of how the areal or individual level effect on the seropositivity change overtime as the pandemic develops, combining in three-month is chosen to reflect the estimation trend overtime while assuring a enough sample size for obtaining the reliable estimation from the regression model. Living in urban significantly negatively affects the seropositivity for the prairies region (Figure S1), while for the estimation of BC and Ontario, there is a trend of increasing to the positive side at mid delta period and then slowly towards to the other side at the end of the omicron study at the November 2022. The trend is expected as in the earlier stage, people living in urban areas may suffer from more exposure of the virus till the gradually opening of the community during late omicron period, when the coefficient estimation tends to vanish as the people living in urban rural areas may interact more. We can observe similar diminishing effects for the material deprivation, however for social deprivation the effect is not pronounced at the latter half of the pandemic. Similar tendency is observed for the sex character, for the prairies and BC the race differences seem to decrease with time till the earlier period of Omicron and then started to increase but still remain at the negative side as the pandemic progresses. On the other hand, the age effect remains significant at around -0.025 and become more stable at the later stage of the pandemic (Figure S2). The county level seropositivity estimation from the the glm model with the spatial random effect is more closed to the observed seropositivity for most of the counties especially given enough sample size, as is shown by Figure S2 of Ontario and BC throughout all three waves (Figure 2).</w:t>
      </w:r>
    </w:p>
    <w:p>
      <w:pPr>
        <w:pStyle w:val="BodyText"/>
      </w:pPr>
      <w:r>
        <w:t xml:space="preserve">Generalized linear model (GLM) framework with logit link function is applied for modeling the relationship between the binary response variable and various types of covariates, which serves as a base comparison model to hierarchical models with utilized the geographical information of census division identifier or further the neighboring information between the divisions. Widely Applicable Information Criterion (WAIC) is used to compare the Bayesian model fitting result, lower values indicate better model performance in terms of balancing goodness-of-fit and model complexity. It shows that except for the Atlantic region during the Delta wave when there is few positive cases, the GLM with spatial random effect (CAR prior) consistently fitted better compared to the GLM, a little bit better than the model with only the cluster random effect being incorporated. Since we do not have strong preferences or prior beliefs of the parameters involved in the hierarchical models, non-informative flat priors for coefficient parameters and weakly informed prior t(3, 0, 2.5) for the hyperparameter for intercept and standard deviation are being used. That might be the reason why the structured spatial effect only has a slight edge over the GLM with the regular grouping random effect. (Table 1)</w:t>
      </w:r>
    </w:p>
    <w:p>
      <w:pPr>
        <w:pStyle w:val="BodyText"/>
      </w:pPr>
      <w:r>
        <w:t xml:space="preserve">We can also get the similar understanding for the individual level covariates from both the modeling results (Figure 1, panel B) and the one comes with aggregated results (Figure S4). There exists a weird performance of the prairies region that the rural seropositivity is comparatively higher than the urban area. The result showing in Figure 1, panel A and Figure S1 is consistent with the aggregated result grouped by category in Figure S3, demonstrating the comparatively huge discrepancy between the urban and rural areas of the prairies region, and the plots look similar withholding one or two among Alberta, Saskatchewan and Manitoba that together make up the prairies. The extremely lower proportion of the reported vaccination within three months recorded by the Canadian Blood Services might be the potential cause for the gap, especially started from the Delta wave (Figure S5). While the donor reported vaccination rates varies little regarding the individual characteristics (Figure S6). Considering the fact that the reported vaccination rate in the Pre-Delta for both BC and the Atlantic region is very similar, another interpretation of this disparity especially happens in the prairies region is the outbreak happened in April 2020 at a meat-packing plant in High River, being located in rural area of Alberta, which result in the leading seropositivity of the rural over the urban area. However, as there is unbalanced donation population between rural and urban areas, other potential risk factor effect on a certain smaller population in prairies rural area could also be another interesting aspect to be investigated.</w:t>
      </w:r>
    </w:p>
    <w:bookmarkEnd w:id="31"/>
    <w:bookmarkStart w:id="33" w:name="conclusion"/>
    <w:p>
      <w:pPr>
        <w:pStyle w:val="Heading1"/>
      </w:pPr>
      <w:r>
        <w:t xml:space="preserve">Conclusion</w:t>
      </w:r>
    </w:p>
    <w:p>
      <w:pPr>
        <w:pStyle w:val="Normal"/>
      </w:pPr>
      <w:r>
        <w:t xml:space="preserve">The Canadian Blood Services (CBS) plays a major role in monitoring COVID-19 immunity levels in Canada through the testing of randomly selected blood donations. In this study, we assessed the correlation between demographic covariates COVID-19 seropositivity across three pandemic waves (Pre-Delta, Delta, and Omicron) in four regions (Ontario, British Columbia, Prairies region and Atlantic region). We also compared multilevel modeling approaches with or without spatial effects.</w:t>
      </w:r>
      <w:r>
        <w:t xml:space="preserve"> </w:t>
      </w:r>
      <w:r>
        <w:t xml:space="preserve">We found that Bayesian multilevel models with conditional autoregressive priors explained most of the variation in COVID-19 seropositivity when using individual factors and spatial factors. Our findings highlight how Bayesian multilevel modeling using antibody test data can provide valuable insights into COVID-19 immunity levels in the population, informing policy making. It is crucial to control the increasing seropositivity by adding the month covariate, especially during Omicron period as the significant trend involves. Though it is counterfactual from our initial guess that people from urban areas are more likely to be infected by living under larger population density, it indicates that we might need to incorporate other covariates like vaccination status and more general self-precaution being carried out. It is also showed from other studies that the high seropositivity may cause by less precautions from rural areas.</w:t>
      </w:r>
    </w:p>
    <w:p>
      <w:pPr>
        <w:pStyle w:val="BodyText"/>
      </w:pPr>
      <w:r>
        <w:t xml:space="preserve">We used individual covariates (age, sex, race) and neighborhood covariates (urbanicity, material and social deprivation) to predict COVID seropositivity. Multilevel modeling with structured random effects consistently provides a better model fit across the regions during each of the three waves, compared with generalized linear model with just fixed effects or the unstructured random effect only. However, the coefficient estimation from the posterior distribution shows that donation from a rural area tends to result in a higher seropositivity, especially for the Prairies region.</w:t>
      </w:r>
    </w:p>
    <w:p>
      <w:pPr>
        <w:pStyle w:val="BodyText"/>
      </w:pPr>
      <w:r>
        <w:t xml:space="preserve"> </w:t>
      </w:r>
      <w:r>
        <w:t xml:space="preserve">[19]</w:t>
      </w:r>
      <w:r>
        <w:t xml:space="preserve">,</w:t>
      </w:r>
      <w:r>
        <w:t xml:space="preserve"> </w:t>
      </w:r>
      <w:r>
        <w:t xml:space="preserve">[20]</w:t>
      </w:r>
      <w:r>
        <w:t xml:space="preserve">,</w:t>
      </w:r>
      <w:r>
        <w:t xml:space="preserve"> </w:t>
      </w:r>
      <w:r>
        <w:t xml:space="preserve">[18]</w:t>
      </w:r>
      <w:r>
        <w:t xml:space="preserve">,</w:t>
      </w:r>
      <w:r>
        <w:t xml:space="preserve"> </w:t>
      </w:r>
      <w:r>
        <w:t xml:space="preserve">[21]</w:t>
      </w:r>
      <w:r>
        <w:t xml:space="preserve">,</w:t>
      </w:r>
      <w:r>
        <w:t xml:space="preserve"> </w:t>
      </w:r>
      <w:r>
        <w:t xml:space="preserve">[22]</w:t>
      </w:r>
      <w:r>
        <w:t xml:space="preserve">,</w:t>
      </w:r>
      <w:r>
        <w:t xml:space="preserve"> </w:t>
      </w:r>
      <w:r>
        <w:t xml:space="preserve">[23]</w:t>
      </w:r>
      <w:r>
        <w:t xml:space="preserve">,</w:t>
      </w:r>
      <w:r>
        <w:t xml:space="preserve"> </w:t>
      </w:r>
      <w:r>
        <w:t xml:space="preserve">[24]</w:t>
      </w:r>
      <w:r>
        <w:t xml:space="preserve">,</w:t>
      </w:r>
      <w:r>
        <w:t xml:space="preserve"> </w:t>
      </w:r>
      <w:r>
        <w:t xml:space="preserve">[25]</w:t>
      </w:r>
      <w:r>
        <w:t xml:space="preserve">,</w:t>
      </w:r>
      <w:r>
        <w:t xml:space="preserve"> </w:t>
      </w:r>
      <w:r>
        <w:t xml:space="preserve">[26]</w:t>
      </w:r>
      <w:r>
        <w:t xml:space="preserve">,</w:t>
      </w:r>
      <w:r>
        <w:t xml:space="preserve"> </w:t>
      </w:r>
      <w:r>
        <w:t xml:space="preserve">[27]</w:t>
      </w:r>
      <w:r>
        <w:t xml:space="preserve">,</w:t>
      </w:r>
      <w:r>
        <w:t xml:space="preserve"> </w:t>
      </w:r>
      <w:r>
        <w:t xml:space="preserve">[28]</w:t>
      </w:r>
      <w:r>
        <w:t xml:space="preserve">,</w:t>
      </w:r>
      <w:r>
        <w:t xml:space="preserve"> </w:t>
      </w:r>
      <w:r>
        <w:t xml:space="preserve">[29]</w:t>
      </w:r>
      <w:r>
        <w:t xml:space="preserve">,</w:t>
      </w:r>
      <w:r>
        <w:t xml:space="preserve"> </w:t>
      </w:r>
      <w:r>
        <w:t xml:space="preserve">[30]</w:t>
      </w:r>
      <w:r>
        <w:t xml:space="preserve">,</w:t>
      </w:r>
      <w:r>
        <w:t xml:space="preserve"> </w:t>
      </w:r>
      <w:r>
        <w:t xml:space="preserve">[12]</w:t>
      </w:r>
      <w:r>
        <w:t xml:space="preserve">,</w:t>
      </w:r>
      <w:r>
        <w:t xml:space="preserve"> </w:t>
      </w:r>
      <w:r>
        <w:t xml:space="preserve">[31]</w:t>
      </w:r>
      <w:r>
        <w:t xml:space="preserve">,</w:t>
      </w:r>
      <w:r>
        <w:t xml:space="preserve"> </w:t>
      </w:r>
      <w:r>
        <w:t xml:space="preserve">[32]</w:t>
      </w:r>
      <w:r>
        <w:t xml:space="preserve">,</w:t>
      </w:r>
      <w:r>
        <w:t xml:space="preserve"> </w:t>
      </w:r>
      <w:r>
        <w:t xml:space="preserve">[33]</w:t>
      </w:r>
      <w:r>
        <w:t xml:space="preserve">,</w:t>
      </w:r>
      <w:r>
        <w:t xml:space="preserve"> </w:t>
      </w:r>
      <w:r>
        <w:t xml:space="preserve">[22]</w:t>
      </w:r>
      <w:r>
        <w:t xml:space="preserve">,</w:t>
      </w:r>
      <w:r>
        <w:t xml:space="preserve"> </w:t>
      </w:r>
      <w:r>
        <w:t xml:space="preserve">[34]</w:t>
      </w:r>
      <w:r>
        <w:t xml:space="preserve">,</w:t>
      </w:r>
      <w:r>
        <w:t xml:space="preserve"> </w:t>
      </w:r>
      <w:r>
        <w:t xml:space="preserve">[4]</w:t>
      </w:r>
      <w:r>
        <w:t xml:space="preserve">,</w:t>
      </w:r>
      <w:r>
        <w:t xml:space="preserve"> </w:t>
      </w:r>
      <w:r>
        <w:t xml:space="preserve">[35]</w:t>
      </w:r>
      <w:r>
        <w:t xml:space="preserve">,</w:t>
      </w:r>
      <w:r>
        <w:t xml:space="preserve"> </w:t>
      </w:r>
      <w:r>
        <w:t xml:space="preserve">[36]</w:t>
      </w:r>
      <w:r>
        <w:t xml:space="preserve">,</w:t>
      </w:r>
      <w:r>
        <w:t xml:space="preserve"> </w:t>
      </w:r>
      <w:r>
        <w:t xml:space="preserve">[37]</w:t>
      </w:r>
      <w:r>
        <w:t xml:space="preserve">,</w:t>
      </w:r>
      <w:r>
        <w:t xml:space="preserve"> </w:t>
      </w:r>
      <w:r>
        <w:t xml:space="preserve">[38]</w:t>
      </w:r>
      <w:r>
        <w:t xml:space="preserve">,</w:t>
      </w:r>
      <w:r>
        <w:t xml:space="preserve"> </w:t>
      </w:r>
      <w:r>
        <w:t xml:space="preserve">[39]</w:t>
      </w:r>
      <w:r>
        <w:t xml:space="preserve">,</w:t>
      </w:r>
      <w:r>
        <w:t xml:space="preserve"> </w:t>
      </w:r>
      <w:r>
        <w:t xml:space="preserve">[40]</w:t>
      </w:r>
      <w:r>
        <w:t xml:space="preserve">,</w:t>
      </w:r>
      <w:r>
        <w:t xml:space="preserve"> </w:t>
      </w:r>
      <w:r>
        <w:t xml:space="preserve">[41]</w:t>
      </w:r>
      <w:r>
        <w:t xml:space="preserve">,</w:t>
      </w:r>
      <w:r>
        <w:t xml:space="preserve"> </w:t>
      </w:r>
      <w:r>
        <w:t xml:space="preserve">[42]</w:t>
      </w:r>
      <w:r>
        <w:t xml:space="preserve">,</w:t>
      </w:r>
      <w:r>
        <w:t xml:space="preserve"> </w:t>
      </w:r>
      <w:r>
        <w:t xml:space="preserve">[43]</w:t>
      </w:r>
      <w:r>
        <w:t xml:space="preserve">,</w:t>
      </w:r>
      <w:r>
        <w:t xml:space="preserve"> </w:t>
      </w:r>
      <w:r>
        <w:t xml:space="preserve">[44]</w:t>
      </w:r>
      <w:r>
        <w:t xml:space="preserve">,</w:t>
      </w:r>
      <w:r>
        <w:t xml:space="preserve"> </w:t>
      </w:r>
      <w:r>
        <w:t xml:space="preserve">[45]</w:t>
      </w:r>
      <w:r>
        <w:t xml:space="preserve">,</w:t>
      </w:r>
      <w:r>
        <w:t xml:space="preserve"> </w:t>
      </w:r>
      <w:r>
        <w:t xml:space="preserve">[46]</w:t>
      </w:r>
      <w:r>
        <w:t xml:space="preserve">,</w:t>
      </w:r>
      <w:r>
        <w:t xml:space="preserve"> </w:t>
      </w:r>
      <w:r>
        <w:t xml:space="preserve">[47]</w:t>
      </w:r>
      <w:r>
        <w:t xml:space="preserve">,</w:t>
      </w:r>
      <w:r>
        <w:t xml:space="preserve"> </w:t>
      </w:r>
      <w:r>
        <w:t xml:space="preserve">[48]</w:t>
      </w:r>
      <w:r>
        <w:t xml:space="preserve">,</w:t>
      </w:r>
      <w:r>
        <w:t xml:space="preserve"> </w:t>
      </w:r>
      <w:r>
        <w:t xml:space="preserve">[49]</w:t>
      </w:r>
      <w:r>
        <w:t xml:space="preserve">,</w:t>
      </w:r>
      <w:r>
        <w:t xml:space="preserve"> </w:t>
      </w:r>
      <w:r>
        <w:t xml:space="preserve">[50]</w:t>
      </w:r>
      <w:r>
        <w:t xml:space="preserve">,</w:t>
      </w:r>
      <w:r>
        <w:t xml:space="preserve"> </w:t>
      </w:r>
      <w:r>
        <w:t xml:space="preserve">[51]</w:t>
      </w:r>
      <w:r>
        <w:t xml:space="preserve">,</w:t>
      </w:r>
      <w:r>
        <w:t xml:space="preserve"> </w:t>
      </w:r>
      <w:r>
        <w:t xml:space="preserve">[52]</w:t>
      </w:r>
    </w:p>
    <w:bookmarkStart w:id="32" w:name="section-2"/>
    <w:p>
      <w:pPr>
        <w:pStyle w:val="Heading5"/>
      </w:pPr>
    </w:p>
    <w:bookmarkEnd w:id="32"/>
    <w:bookmarkEnd w:id="33"/>
    <w:bookmarkStart w:id="35" w:name="declarations"/>
    <w:p>
      <w:pPr>
        <w:pStyle w:val="Heading1"/>
      </w:pPr>
      <w:r>
        <w:t xml:space="preserve">Declarations</w:t>
      </w:r>
    </w:p>
    <w:p>
      <w:pPr>
        <w:pStyle w:val="Normal"/>
      </w:pPr>
      <w:r>
        <w:rPr>
          <w:bCs/>
          <w:b/>
        </w:rPr>
        <w:t xml:space="preserve">Funding:</w:t>
      </w:r>
      <w:r>
        <w:t xml:space="preserve"> </w:t>
      </w:r>
      <w:r>
        <w:t xml:space="preserve">This work is founded by Canadian Blood Services (CBS)</w:t>
      </w:r>
    </w:p>
    <w:p>
      <w:pPr>
        <w:pStyle w:val="BodyText"/>
      </w:pPr>
      <w:r>
        <w:rPr>
          <w:bCs/>
          <w:b/>
        </w:rPr>
        <w:t xml:space="preserve">Conflicts:</w:t>
      </w:r>
      <w:r>
        <w:t xml:space="preserve"> </w:t>
      </w:r>
      <w:r>
        <w:t xml:space="preserve">none declared</w:t>
      </w:r>
    </w:p>
    <w:p>
      <w:pPr>
        <w:pStyle w:val="BodyText"/>
      </w:pPr>
      <w:r>
        <w:rPr>
          <w:bCs/>
          <w:b/>
        </w:rPr>
        <w:t xml:space="preserve">Ethics/Consent:</w:t>
      </w:r>
      <w:r>
        <w:t xml:space="preserve"> </w:t>
      </w:r>
      <w:r>
        <w:t xml:space="preserve">This research is approved by IRB of McGill university</w:t>
      </w:r>
    </w:p>
    <w:p>
      <w:pPr>
        <w:pStyle w:val="BodyText"/>
      </w:pPr>
      <w:r>
        <w:rPr>
          <w:bCs/>
          <w:b/>
        </w:rPr>
        <w:t xml:space="preserve">Data and materials:</w:t>
      </w:r>
      <w:r>
        <w:t xml:space="preserve"> </w:t>
      </w:r>
      <w:r>
        <w:t xml:space="preserve">Data is provided by COVID-19 Immunity Task Force (CITF)</w:t>
      </w:r>
    </w:p>
    <w:p>
      <w:pPr>
        <w:pStyle w:val="BodyText"/>
      </w:pPr>
      <w:r>
        <w:rPr>
          <w:bCs/>
          <w:b/>
        </w:rPr>
        <w:t xml:space="preserve">Code availability:</w:t>
      </w:r>
      <w:r>
        <w:t xml:space="preserve"> </w:t>
      </w:r>
      <w:r>
        <w:t xml:space="preserve">A</w:t>
      </w:r>
    </w:p>
    <w:p>
      <w:pPr>
        <w:pStyle w:val="BodyText"/>
      </w:pPr>
      <w:r>
        <w:rPr>
          <w:bCs/>
          <w:b/>
        </w:rPr>
        <w:t xml:space="preserve">Authors’ contributions:</w:t>
      </w:r>
    </w:p>
    <w:bookmarkStart w:id="34" w:name="section-3"/>
    <w:p>
      <w:pPr>
        <w:pStyle w:val="Heading5"/>
      </w:pPr>
    </w:p>
    <w:bookmarkEnd w:id="34"/>
    <w:bookmarkEnd w:id="35"/>
    <w:bookmarkStart w:id="141" w:name="references"/>
    <w:p>
      <w:pPr>
        <w:pStyle w:val="Heading1"/>
      </w:pPr>
      <w:r>
        <w:t xml:space="preserve">References</w:t>
      </w:r>
    </w:p>
    <w:bookmarkStart w:id="139" w:name="refs"/>
    <w:bookmarkStart w:id="37" w:name="ref-manuel_role_2021"/>
    <w:p>
      <w:pPr>
        <w:pStyle w:val="Bibliography"/>
      </w:pPr>
      <w:r>
        <w:t xml:space="preserve">1.</w:t>
      </w:r>
      <w:r>
        <w:t xml:space="preserve"> </w:t>
      </w:r>
      <w:r>
        <w:t xml:space="preserve">	</w:t>
      </w:r>
      <w:r>
        <w:t xml:space="preserve">Manuel DG, Delatolla R, Fisman DN, et al.</w:t>
      </w:r>
      <w:r>
        <w:t xml:space="preserve"> </w:t>
      </w:r>
      <w:r>
        <w:rPr>
          <w:iCs/>
          <w:i/>
        </w:rPr>
        <w:t xml:space="preserve">The</w:t>
      </w:r>
      <w:r>
        <w:rPr>
          <w:iCs/>
          <w:i/>
        </w:rPr>
        <w:t xml:space="preserve"> </w:t>
      </w:r>
      <w:r>
        <w:rPr>
          <w:iCs/>
          <w:i/>
        </w:rPr>
        <w:t xml:space="preserve">Role</w:t>
      </w:r>
      <w:r>
        <w:rPr>
          <w:iCs/>
          <w:i/>
        </w:rPr>
        <w:t xml:space="preserve"> </w:t>
      </w:r>
      <w:r>
        <w:rPr>
          <w:iCs/>
          <w:i/>
        </w:rPr>
        <w:t xml:space="preserve">of</w:t>
      </w:r>
      <w:r>
        <w:rPr>
          <w:iCs/>
          <w:i/>
        </w:rPr>
        <w:t xml:space="preserve"> </w:t>
      </w:r>
      <w:r>
        <w:rPr>
          <w:iCs/>
          <w:i/>
        </w:rPr>
        <w:t xml:space="preserve">Wastewater</w:t>
      </w:r>
      <w:r>
        <w:rPr>
          <w:iCs/>
          <w:i/>
        </w:rPr>
        <w:t xml:space="preserve"> </w:t>
      </w:r>
      <w:r>
        <w:rPr>
          <w:iCs/>
          <w:i/>
        </w:rPr>
        <w:t xml:space="preserve">Testing</w:t>
      </w:r>
      <w:r>
        <w:rPr>
          <w:iCs/>
          <w:i/>
        </w:rPr>
        <w:t xml:space="preserve"> </w:t>
      </w:r>
      <w:r>
        <w:rPr>
          <w:iCs/>
          <w:i/>
        </w:rPr>
        <w:t xml:space="preserve">for</w:t>
      </w:r>
      <w:r>
        <w:rPr>
          <w:iCs/>
          <w:i/>
        </w:rPr>
        <w:t xml:space="preserve"> </w:t>
      </w:r>
      <w:r>
        <w:rPr>
          <w:iCs/>
          <w:i/>
        </w:rPr>
        <w:t xml:space="preserve">SARS</w:t>
      </w:r>
      <w:r>
        <w:rPr>
          <w:iCs/>
          <w:i/>
        </w:rPr>
        <w:t xml:space="preserve">-</w:t>
      </w:r>
      <w:r>
        <w:rPr>
          <w:iCs/>
          <w:i/>
        </w:rPr>
        <w:t xml:space="preserve">CoV</w:t>
      </w:r>
      <w:r>
        <w:rPr>
          <w:iCs/>
          <w:i/>
        </w:rPr>
        <w:t xml:space="preserve">-2</w:t>
      </w:r>
      <w:r>
        <w:rPr>
          <w:iCs/>
          <w:i/>
        </w:rPr>
        <w:t xml:space="preserve"> </w:t>
      </w:r>
      <w:r>
        <w:rPr>
          <w:iCs/>
          <w:i/>
        </w:rPr>
        <w:t xml:space="preserve">Surveillance</w:t>
      </w:r>
      <w:r>
        <w:t xml:space="preserve">. Ontario COVID-19 Science Advisory Table; 2021. doi:</w:t>
      </w:r>
      <w:hyperlink r:id="rId36">
        <w:r>
          <w:rPr>
            <w:rStyle w:val="Hyperlink"/>
          </w:rPr>
          <w:t xml:space="preserve">10.47326/ocsat.2021.02.40.1.0</w:t>
        </w:r>
      </w:hyperlink>
    </w:p>
    <w:bookmarkEnd w:id="37"/>
    <w:bookmarkStart w:id="39" w:name="ref-ward_population_2022"/>
    <w:p>
      <w:pPr>
        <w:pStyle w:val="Bibliography"/>
      </w:pPr>
      <w:r>
        <w:t xml:space="preserve">2.</w:t>
      </w:r>
      <w:r>
        <w:t xml:space="preserve"> </w:t>
      </w:r>
      <w:r>
        <w:t xml:space="preserve">	</w:t>
      </w:r>
      <w:r>
        <w:t xml:space="preserve">Ward H, Whitaker M, Flower B, et al. Population antibody responses following</w:t>
      </w:r>
      <w:r>
        <w:t xml:space="preserve"> </w:t>
      </w:r>
      <w:r>
        <w:t xml:space="preserve">COVID</w:t>
      </w:r>
      <w:r>
        <w:t xml:space="preserve">-19 vaccination in 212,102 individuals.</w:t>
      </w:r>
      <w:r>
        <w:t xml:space="preserve"> </w:t>
      </w:r>
      <w:r>
        <w:rPr>
          <w:iCs/>
          <w:i/>
        </w:rPr>
        <w:t xml:space="preserve">Nat Commun</w:t>
      </w:r>
      <w:r>
        <w:t xml:space="preserve">. 2022;13(1):907. doi:</w:t>
      </w:r>
      <w:hyperlink r:id="rId38">
        <w:r>
          <w:rPr>
            <w:rStyle w:val="Hyperlink"/>
          </w:rPr>
          <w:t xml:space="preserve">10.1038/s41467-022-28527-x</w:t>
        </w:r>
      </w:hyperlink>
    </w:p>
    <w:bookmarkEnd w:id="39"/>
    <w:bookmarkStart w:id="41" w:name="ref-saeed_sars-cov-2_2021"/>
    <w:p>
      <w:pPr>
        <w:pStyle w:val="Bibliography"/>
      </w:pPr>
      <w:r>
        <w:t xml:space="preserve">3.</w:t>
      </w:r>
      <w:r>
        <w:t xml:space="preserve"> </w:t>
      </w:r>
      <w:r>
        <w:t xml:space="preserve">	</w:t>
      </w:r>
      <w:r>
        <w:t xml:space="preserve">Saeed S, Drews SJ, Pambrun C, Yi Q-L, Osmond L, O’Brien SF.</w:t>
      </w:r>
      <w:r>
        <w:t xml:space="preserve"> </w:t>
      </w:r>
      <w:r>
        <w:t xml:space="preserve">SARS</w:t>
      </w:r>
      <w:r>
        <w:t xml:space="preserve">-</w:t>
      </w:r>
      <w:r>
        <w:t xml:space="preserve">CoV</w:t>
      </w:r>
      <w:r>
        <w:t xml:space="preserve">-2 seroprevalence among blood donors after the first</w:t>
      </w:r>
      <w:r>
        <w:t xml:space="preserve"> </w:t>
      </w:r>
      <w:r>
        <w:t xml:space="preserve">COVID</w:t>
      </w:r>
      <w:r>
        <w:t xml:space="preserve">-19 wave in</w:t>
      </w:r>
      <w:r>
        <w:t xml:space="preserve"> </w:t>
      </w:r>
      <w:r>
        <w:t xml:space="preserve">Canada</w:t>
      </w:r>
      <w:r>
        <w:t xml:space="preserve">.</w:t>
      </w:r>
      <w:r>
        <w:t xml:space="preserve"> </w:t>
      </w:r>
      <w:r>
        <w:rPr>
          <w:iCs/>
          <w:i/>
        </w:rPr>
        <w:t xml:space="preserve">Transfusion</w:t>
      </w:r>
      <w:r>
        <w:t xml:space="preserve">. 2021;61(3):862-872. doi:</w:t>
      </w:r>
      <w:hyperlink r:id="rId40">
        <w:r>
          <w:rPr>
            <w:rStyle w:val="Hyperlink"/>
          </w:rPr>
          <w:t xml:space="preserve">10.1111/trf.16296</w:t>
        </w:r>
      </w:hyperlink>
    </w:p>
    <w:bookmarkEnd w:id="41"/>
    <w:bookmarkStart w:id="43" w:name="ref-charlton_pre-vaccine_2021"/>
    <w:p>
      <w:pPr>
        <w:pStyle w:val="Bibliography"/>
      </w:pPr>
      <w:r>
        <w:t xml:space="preserve">4.</w:t>
      </w:r>
      <w:r>
        <w:t xml:space="preserve"> </w:t>
      </w:r>
      <w:r>
        <w:t xml:space="preserve">	</w:t>
      </w:r>
      <w:r>
        <w:t xml:space="preserve">Charlton CL, Nguyen LT, Bailey A, et al. Pre-</w:t>
      </w:r>
      <w:r>
        <w:t xml:space="preserve">Vaccine</w:t>
      </w:r>
      <w:r>
        <w:t xml:space="preserve"> </w:t>
      </w:r>
      <w:r>
        <w:t xml:space="preserve">Positivity</w:t>
      </w:r>
      <w:r>
        <w:t xml:space="preserve"> </w:t>
      </w:r>
      <w:r>
        <w:t xml:space="preserve">of</w:t>
      </w:r>
      <w:r>
        <w:t xml:space="preserve"> </w:t>
      </w:r>
      <w:r>
        <w:t xml:space="preserve">SARS</w:t>
      </w:r>
      <w:r>
        <w:t xml:space="preserve">-</w:t>
      </w:r>
      <w:r>
        <w:t xml:space="preserve">CoV</w:t>
      </w:r>
      <w:r>
        <w:t xml:space="preserve">-2</w:t>
      </w:r>
      <w:r>
        <w:t xml:space="preserve"> </w:t>
      </w:r>
      <w:r>
        <w:t xml:space="preserve">Antibodies</w:t>
      </w:r>
      <w:r>
        <w:t xml:space="preserve"> </w:t>
      </w:r>
      <w:r>
        <w:t xml:space="preserve">in</w:t>
      </w:r>
      <w:r>
        <w:t xml:space="preserve"> </w:t>
      </w:r>
      <w:r>
        <w:t xml:space="preserve">Alberta</w:t>
      </w:r>
      <w:r>
        <w:t xml:space="preserve">,</w:t>
      </w:r>
      <w:r>
        <w:t xml:space="preserve"> </w:t>
      </w:r>
      <w:r>
        <w:t xml:space="preserve">Canada</w:t>
      </w:r>
      <w:r>
        <w:t xml:space="preserve"> </w:t>
      </w:r>
      <w:r>
        <w:t xml:space="preserve">during the</w:t>
      </w:r>
      <w:r>
        <w:t xml:space="preserve"> </w:t>
      </w:r>
      <w:r>
        <w:t xml:space="preserve">First</w:t>
      </w:r>
      <w:r>
        <w:t xml:space="preserve"> </w:t>
      </w:r>
      <w:r>
        <w:t xml:space="preserve">Two</w:t>
      </w:r>
      <w:r>
        <w:t xml:space="preserve"> </w:t>
      </w:r>
      <w:r>
        <w:t xml:space="preserve">Waves</w:t>
      </w:r>
      <w:r>
        <w:t xml:space="preserve"> </w:t>
      </w:r>
      <w:r>
        <w:t xml:space="preserve">of the</w:t>
      </w:r>
      <w:r>
        <w:t xml:space="preserve"> </w:t>
      </w:r>
      <w:r>
        <w:t xml:space="preserve">COVID</w:t>
      </w:r>
      <w:r>
        <w:t xml:space="preserve">-19</w:t>
      </w:r>
      <w:r>
        <w:t xml:space="preserve"> </w:t>
      </w:r>
      <w:r>
        <w:t xml:space="preserve">Pandemic</w:t>
      </w:r>
      <w:r>
        <w:t xml:space="preserve">.</w:t>
      </w:r>
      <w:r>
        <w:t xml:space="preserve"> </w:t>
      </w:r>
      <w:r>
        <w:rPr>
          <w:iCs/>
          <w:i/>
        </w:rPr>
        <w:t xml:space="preserve">Microbiology Spectrum</w:t>
      </w:r>
      <w:r>
        <w:t xml:space="preserve">. 2021;9(1):10.1128/spectrum.00291-21. doi:</w:t>
      </w:r>
      <w:hyperlink r:id="rId42">
        <w:r>
          <w:rPr>
            <w:rStyle w:val="Hyperlink"/>
          </w:rPr>
          <w:t xml:space="preserve">10.1128/spectrum.00291-21</w:t>
        </w:r>
      </w:hyperlink>
    </w:p>
    <w:bookmarkEnd w:id="43"/>
    <w:bookmarkStart w:id="45" w:name="ref-obrien_expanded_2023"/>
    <w:p>
      <w:pPr>
        <w:pStyle w:val="Bibliography"/>
      </w:pPr>
      <w:r>
        <w:t xml:space="preserve">5.</w:t>
      </w:r>
      <w:r>
        <w:t xml:space="preserve"> </w:t>
      </w:r>
      <w:r>
        <w:t xml:space="preserve">	</w:t>
      </w:r>
      <w:r>
        <w:t xml:space="preserve">O’Brien SF, Goldman M, Drews SJ. An expanded role for blood donor emerging pathogens surveillance.</w:t>
      </w:r>
      <w:r>
        <w:t xml:space="preserve"> </w:t>
      </w:r>
      <w:r>
        <w:rPr>
          <w:iCs/>
          <w:i/>
        </w:rPr>
        <w:t xml:space="preserve">CMAJ</w:t>
      </w:r>
      <w:r>
        <w:t xml:space="preserve">. 2023;195(1):E16-E16. doi:</w:t>
      </w:r>
      <w:hyperlink r:id="rId44">
        <w:r>
          <w:rPr>
            <w:rStyle w:val="Hyperlink"/>
          </w:rPr>
          <w:t xml:space="preserve">10.1503/cmaj.147635-l</w:t>
        </w:r>
      </w:hyperlink>
    </w:p>
    <w:bookmarkEnd w:id="45"/>
    <w:bookmarkStart w:id="47" w:name="ref-erikstrup_cohort_2022"/>
    <w:p>
      <w:pPr>
        <w:pStyle w:val="Bibliography"/>
      </w:pPr>
      <w:r>
        <w:t xml:space="preserve">6.</w:t>
      </w:r>
      <w:r>
        <w:t xml:space="preserve"> </w:t>
      </w:r>
      <w:r>
        <w:t xml:space="preserve">	</w:t>
      </w:r>
      <w:r>
        <w:t xml:space="preserve">Erikstrup C, Sørensen E, Nielsen KR, et al. Cohort</w:t>
      </w:r>
      <w:r>
        <w:t xml:space="preserve"> </w:t>
      </w:r>
      <w:r>
        <w:t xml:space="preserve">Profile</w:t>
      </w:r>
      <w:r>
        <w:t xml:space="preserve">:</w:t>
      </w:r>
      <w:r>
        <w:t xml:space="preserve"> </w:t>
      </w:r>
      <w:r>
        <w:t xml:space="preserve">The</w:t>
      </w:r>
      <w:r>
        <w:t xml:space="preserve"> </w:t>
      </w:r>
      <w:r>
        <w:t xml:space="preserve">Danish</w:t>
      </w:r>
      <w:r>
        <w:t xml:space="preserve"> </w:t>
      </w:r>
      <w:r>
        <w:t xml:space="preserve">Blood</w:t>
      </w:r>
      <w:r>
        <w:t xml:space="preserve"> </w:t>
      </w:r>
      <w:r>
        <w:t xml:space="preserve">Donor</w:t>
      </w:r>
      <w:r>
        <w:t xml:space="preserve"> </w:t>
      </w:r>
      <w:r>
        <w:t xml:space="preserve">Study</w:t>
      </w:r>
      <w:r>
        <w:t xml:space="preserve">.</w:t>
      </w:r>
      <w:r>
        <w:t xml:space="preserve"> </w:t>
      </w:r>
      <w:r>
        <w:rPr>
          <w:iCs/>
          <w:i/>
        </w:rPr>
        <w:t xml:space="preserve">International Journal of Epidemiology</w:t>
      </w:r>
      <w:r>
        <w:t xml:space="preserve">. October 2022:dyac194. doi:</w:t>
      </w:r>
      <w:hyperlink r:id="rId46">
        <w:r>
          <w:rPr>
            <w:rStyle w:val="Hyperlink"/>
          </w:rPr>
          <w:t xml:space="preserve">10.1093/ije/dyac194</w:t>
        </w:r>
      </w:hyperlink>
    </w:p>
    <w:bookmarkEnd w:id="47"/>
    <w:bookmarkStart w:id="49" w:name="ref-simmons_high_nodate"/>
    <w:p>
      <w:pPr>
        <w:pStyle w:val="Bibliography"/>
      </w:pPr>
      <w:r>
        <w:t xml:space="preserve">7.</w:t>
      </w:r>
      <w:r>
        <w:t xml:space="preserve"> </w:t>
      </w:r>
      <w:r>
        <w:t xml:space="preserve">	</w:t>
      </w:r>
      <w:r>
        <w:t xml:space="preserve">Simmons G, Brès V, Lu K, et al. High</w:t>
      </w:r>
      <w:r>
        <w:t xml:space="preserve"> </w:t>
      </w:r>
      <w:r>
        <w:t xml:space="preserve">Incidence</w:t>
      </w:r>
      <w:r>
        <w:t xml:space="preserve"> </w:t>
      </w:r>
      <w:r>
        <w:t xml:space="preserve">of</w:t>
      </w:r>
      <w:r>
        <w:t xml:space="preserve"> </w:t>
      </w:r>
      <w:r>
        <w:t xml:space="preserve">Chikungunya</w:t>
      </w:r>
      <w:r>
        <w:t xml:space="preserve"> </w:t>
      </w:r>
      <w:r>
        <w:t xml:space="preserve">Virus</w:t>
      </w:r>
      <w:r>
        <w:t xml:space="preserve"> </w:t>
      </w:r>
      <w:r>
        <w:t xml:space="preserve">and</w:t>
      </w:r>
      <w:r>
        <w:t xml:space="preserve"> </w:t>
      </w:r>
      <w:r>
        <w:t xml:space="preserve">Frequency</w:t>
      </w:r>
      <w:r>
        <w:t xml:space="preserve"> </w:t>
      </w:r>
      <w:r>
        <w:t xml:space="preserve">of</w:t>
      </w:r>
      <w:r>
        <w:t xml:space="preserve"> </w:t>
      </w:r>
      <w:r>
        <w:t xml:space="preserve">Viremic</w:t>
      </w:r>
      <w:r>
        <w:t xml:space="preserve"> </w:t>
      </w:r>
      <w:r>
        <w:t xml:space="preserve">Blood</w:t>
      </w:r>
      <w:r>
        <w:t xml:space="preserve"> </w:t>
      </w:r>
      <w:r>
        <w:t xml:space="preserve">Donations</w:t>
      </w:r>
      <w:r>
        <w:t xml:space="preserve"> </w:t>
      </w:r>
      <w:r>
        <w:t xml:space="preserve">during</w:t>
      </w:r>
      <w:r>
        <w:t xml:space="preserve"> </w:t>
      </w:r>
      <w:r>
        <w:t xml:space="preserve">Epidemic</w:t>
      </w:r>
      <w:r>
        <w:t xml:space="preserve">,</w:t>
      </w:r>
      <w:r>
        <w:t xml:space="preserve"> </w:t>
      </w:r>
      <w:r>
        <w:t xml:space="preserve">Puerto</w:t>
      </w:r>
      <w:r>
        <w:t xml:space="preserve"> </w:t>
      </w:r>
      <w:r>
        <w:t xml:space="preserve">Rico</w:t>
      </w:r>
      <w:r>
        <w:t xml:space="preserve">,</w:t>
      </w:r>
      <w:r>
        <w:t xml:space="preserve"> </w:t>
      </w:r>
      <w:r>
        <w:t xml:space="preserve">USA</w:t>
      </w:r>
      <w:r>
        <w:t xml:space="preserve">, 2014 -</w:t>
      </w:r>
      <w:r>
        <w:t xml:space="preserve"> </w:t>
      </w:r>
      <w:r>
        <w:t xml:space="preserve">Volume</w:t>
      </w:r>
      <w:r>
        <w:t xml:space="preserve"> </w:t>
      </w:r>
      <w:r>
        <w:t xml:space="preserve">22,</w:t>
      </w:r>
      <w:r>
        <w:t xml:space="preserve"> </w:t>
      </w:r>
      <w:r>
        <w:t xml:space="preserve">Number</w:t>
      </w:r>
      <w:r>
        <w:t xml:space="preserve"> </w:t>
      </w:r>
      <w:r>
        <w:t xml:space="preserve">7—</w:t>
      </w:r>
      <w:r>
        <w:t xml:space="preserve">July</w:t>
      </w:r>
      <w:r>
        <w:t xml:space="preserve"> </w:t>
      </w:r>
      <w:r>
        <w:t xml:space="preserve">2016 -</w:t>
      </w:r>
      <w:r>
        <w:t xml:space="preserve"> </w:t>
      </w:r>
      <w:r>
        <w:t xml:space="preserve">Emerging</w:t>
      </w:r>
      <w:r>
        <w:t xml:space="preserve"> </w:t>
      </w:r>
      <w:r>
        <w:t xml:space="preserve">Infectious</w:t>
      </w:r>
      <w:r>
        <w:t xml:space="preserve"> </w:t>
      </w:r>
      <w:r>
        <w:t xml:space="preserve">Diseases</w:t>
      </w:r>
      <w:r>
        <w:t xml:space="preserve"> </w:t>
      </w:r>
      <w:r>
        <w:t xml:space="preserve">journal -</w:t>
      </w:r>
      <w:r>
        <w:t xml:space="preserve"> </w:t>
      </w:r>
      <w:r>
        <w:t xml:space="preserve">CDC</w:t>
      </w:r>
      <w:r>
        <w:t xml:space="preserve">. doi:</w:t>
      </w:r>
      <w:hyperlink r:id="rId48">
        <w:r>
          <w:rPr>
            <w:rStyle w:val="Hyperlink"/>
          </w:rPr>
          <w:t xml:space="preserve">10.3201/eid2207.160116</w:t>
        </w:r>
      </w:hyperlink>
    </w:p>
    <w:bookmarkEnd w:id="49"/>
    <w:bookmarkStart w:id="51" w:name="ref-custer_surveillance_2023"/>
    <w:p>
      <w:pPr>
        <w:pStyle w:val="Bibliography"/>
      </w:pPr>
      <w:r>
        <w:t xml:space="preserve">8.</w:t>
      </w:r>
      <w:r>
        <w:t xml:space="preserve"> </w:t>
      </w:r>
      <w:r>
        <w:t xml:space="preserve">	</w:t>
      </w:r>
      <w:r>
        <w:t xml:space="preserve">Custer B, Grebe E, Buccheri R, et al. Surveillance for</w:t>
      </w:r>
      <w:r>
        <w:t xml:space="preserve"> </w:t>
      </w:r>
      <w:r>
        <w:t xml:space="preserve">Zika</w:t>
      </w:r>
      <w:r>
        <w:t xml:space="preserve">,</w:t>
      </w:r>
      <w:r>
        <w:t xml:space="preserve"> </w:t>
      </w:r>
      <w:r>
        <w:t xml:space="preserve">Chikungunya</w:t>
      </w:r>
      <w:r>
        <w:t xml:space="preserve">, and</w:t>
      </w:r>
      <w:r>
        <w:t xml:space="preserve"> </w:t>
      </w:r>
      <w:r>
        <w:t xml:space="preserve">Dengue</w:t>
      </w:r>
      <w:r>
        <w:t xml:space="preserve"> </w:t>
      </w:r>
      <w:r>
        <w:t xml:space="preserve">Virus</w:t>
      </w:r>
      <w:r>
        <w:t xml:space="preserve"> </w:t>
      </w:r>
      <w:r>
        <w:t xml:space="preserve">Incidence</w:t>
      </w:r>
      <w:r>
        <w:t xml:space="preserve"> </w:t>
      </w:r>
      <w:r>
        <w:t xml:space="preserve">and</w:t>
      </w:r>
      <w:r>
        <w:t xml:space="preserve"> </w:t>
      </w:r>
      <w:r>
        <w:t xml:space="preserve">RNAemia</w:t>
      </w:r>
      <w:r>
        <w:t xml:space="preserve"> </w:t>
      </w:r>
      <w:r>
        <w:t xml:space="preserve">in</w:t>
      </w:r>
      <w:r>
        <w:t xml:space="preserve"> </w:t>
      </w:r>
      <w:r>
        <w:t xml:space="preserve">Blood</w:t>
      </w:r>
      <w:r>
        <w:t xml:space="preserve"> </w:t>
      </w:r>
      <w:r>
        <w:t xml:space="preserve">Donors</w:t>
      </w:r>
      <w:r>
        <w:t xml:space="preserve"> </w:t>
      </w:r>
      <w:r>
        <w:t xml:space="preserve">at 4</w:t>
      </w:r>
      <w:r>
        <w:t xml:space="preserve"> </w:t>
      </w:r>
      <w:r>
        <w:t xml:space="preserve">Brazilian</w:t>
      </w:r>
      <w:r>
        <w:t xml:space="preserve"> </w:t>
      </w:r>
      <w:r>
        <w:t xml:space="preserve">Blood</w:t>
      </w:r>
      <w:r>
        <w:t xml:space="preserve"> </w:t>
      </w:r>
      <w:r>
        <w:t xml:space="preserve">Centers</w:t>
      </w:r>
      <w:r>
        <w:t xml:space="preserve"> </w:t>
      </w:r>
      <w:r>
        <w:t xml:space="preserve">During</w:t>
      </w:r>
      <w:r>
        <w:t xml:space="preserve"> </w:t>
      </w:r>
      <w:r>
        <w:t xml:space="preserve">2016–2019.</w:t>
      </w:r>
      <w:r>
        <w:t xml:space="preserve"> </w:t>
      </w:r>
      <w:r>
        <w:rPr>
          <w:iCs/>
          <w:i/>
        </w:rPr>
        <w:t xml:space="preserve">The Journal of Infectious Diseases</w:t>
      </w:r>
      <w:r>
        <w:t xml:space="preserve">. 2023;227(5):696-707. doi:</w:t>
      </w:r>
      <w:hyperlink r:id="rId50">
        <w:r>
          <w:rPr>
            <w:rStyle w:val="Hyperlink"/>
          </w:rPr>
          <w:t xml:space="preserve">10.1093/infdis/jiac173</w:t>
        </w:r>
      </w:hyperlink>
    </w:p>
    <w:bookmarkEnd w:id="51"/>
    <w:bookmarkStart w:id="53" w:name="ref-tuite_estimating_2022"/>
    <w:p>
      <w:pPr>
        <w:pStyle w:val="Bibliography"/>
      </w:pPr>
      <w:r>
        <w:t xml:space="preserve">9.</w:t>
      </w:r>
      <w:r>
        <w:t xml:space="preserve"> </w:t>
      </w:r>
      <w:r>
        <w:t xml:space="preserve">	</w:t>
      </w:r>
      <w:r>
        <w:t xml:space="preserve">Tuite AR, Fisman D, Abe KT, et al. Estimating</w:t>
      </w:r>
      <w:r>
        <w:t xml:space="preserve"> </w:t>
      </w:r>
      <w:r>
        <w:t xml:space="preserve">SARS</w:t>
      </w:r>
      <w:r>
        <w:t xml:space="preserve">-</w:t>
      </w:r>
      <w:r>
        <w:t xml:space="preserve">CoV</w:t>
      </w:r>
      <w:r>
        <w:t xml:space="preserve">-2</w:t>
      </w:r>
      <w:r>
        <w:t xml:space="preserve"> </w:t>
      </w:r>
      <w:r>
        <w:t xml:space="preserve">Seroprevalence</w:t>
      </w:r>
      <w:r>
        <w:t xml:space="preserve"> </w:t>
      </w:r>
      <w:r>
        <w:t xml:space="preserve">in</w:t>
      </w:r>
      <w:r>
        <w:t xml:space="preserve"> </w:t>
      </w:r>
      <w:r>
        <w:t xml:space="preserve">Canadian</w:t>
      </w:r>
      <w:r>
        <w:t xml:space="preserve"> </w:t>
      </w:r>
      <w:r>
        <w:t xml:space="preserve">Blood</w:t>
      </w:r>
      <w:r>
        <w:t xml:space="preserve"> </w:t>
      </w:r>
      <w:r>
        <w:t xml:space="preserve">Donors</w:t>
      </w:r>
      <w:r>
        <w:t xml:space="preserve">,</w:t>
      </w:r>
      <w:r>
        <w:t xml:space="preserve"> </w:t>
      </w:r>
      <w:r>
        <w:t xml:space="preserve">April</w:t>
      </w:r>
      <w:r>
        <w:t xml:space="preserve"> </w:t>
      </w:r>
      <w:r>
        <w:t xml:space="preserve">2020 to</w:t>
      </w:r>
      <w:r>
        <w:t xml:space="preserve"> </w:t>
      </w:r>
      <w:r>
        <w:t xml:space="preserve">March</w:t>
      </w:r>
      <w:r>
        <w:t xml:space="preserve"> </w:t>
      </w:r>
      <w:r>
        <w:t xml:space="preserve">2021:</w:t>
      </w:r>
      <w:r>
        <w:t xml:space="preserve"> </w:t>
      </w:r>
      <w:r>
        <w:t xml:space="preserve">Improving</w:t>
      </w:r>
      <w:r>
        <w:t xml:space="preserve"> </w:t>
      </w:r>
      <w:r>
        <w:t xml:space="preserve">Accuracy</w:t>
      </w:r>
      <w:r>
        <w:t xml:space="preserve"> </w:t>
      </w:r>
      <w:r>
        <w:t xml:space="preserve">with</w:t>
      </w:r>
      <w:r>
        <w:t xml:space="preserve"> </w:t>
      </w:r>
      <w:r>
        <w:t xml:space="preserve">Multiple</w:t>
      </w:r>
      <w:r>
        <w:t xml:space="preserve"> </w:t>
      </w:r>
      <w:r>
        <w:t xml:space="preserve">Assays</w:t>
      </w:r>
      <w:r>
        <w:t xml:space="preserve">.</w:t>
      </w:r>
      <w:r>
        <w:t xml:space="preserve"> </w:t>
      </w:r>
      <w:r>
        <w:rPr>
          <w:iCs/>
          <w:i/>
        </w:rPr>
        <w:t xml:space="preserve">Microbiology Spectrum</w:t>
      </w:r>
      <w:r>
        <w:t xml:space="preserve">. 2022;10(1):e02563-21. doi:</w:t>
      </w:r>
      <w:hyperlink r:id="rId52">
        <w:r>
          <w:rPr>
            <w:rStyle w:val="Hyperlink"/>
          </w:rPr>
          <w:t xml:space="preserve">10.1128/spectrum.02563-21</w:t>
        </w:r>
      </w:hyperlink>
    </w:p>
    <w:bookmarkEnd w:id="53"/>
    <w:bookmarkStart w:id="55" w:name="ref-bobrovitz_global_2021"/>
    <w:p>
      <w:pPr>
        <w:pStyle w:val="Bibliography"/>
      </w:pPr>
      <w:r>
        <w:t xml:space="preserve">10.</w:t>
      </w:r>
      <w:r>
        <w:t xml:space="preserve"> </w:t>
      </w:r>
      <w:r>
        <w:t xml:space="preserve">	</w:t>
      </w:r>
      <w:r>
        <w:t xml:space="preserve">Bobrovitz N, Arora RK, Cao C, et al. Global seroprevalence of</w:t>
      </w:r>
      <w:r>
        <w:t xml:space="preserve"> </w:t>
      </w:r>
      <w:r>
        <w:t xml:space="preserve">SARS</w:t>
      </w:r>
      <w:r>
        <w:t xml:space="preserve">-</w:t>
      </w:r>
      <w:r>
        <w:t xml:space="preserve">CoV</w:t>
      </w:r>
      <w:r>
        <w:t xml:space="preserve">-2 antibodies:</w:t>
      </w:r>
      <w:r>
        <w:t xml:space="preserve"> </w:t>
      </w:r>
      <w:r>
        <w:t xml:space="preserve">A</w:t>
      </w:r>
      <w:r>
        <w:t xml:space="preserve"> </w:t>
      </w:r>
      <w:r>
        <w:t xml:space="preserve">systematic review and meta-analysis.</w:t>
      </w:r>
      <w:r>
        <w:t xml:space="preserve"> </w:t>
      </w:r>
      <w:r>
        <w:rPr>
          <w:iCs/>
          <w:i/>
        </w:rPr>
        <w:t xml:space="preserve">PLOS ONE</w:t>
      </w:r>
      <w:r>
        <w:t xml:space="preserve">. 2021;16(6):e0252617. doi:</w:t>
      </w:r>
      <w:hyperlink r:id="rId54">
        <w:r>
          <w:rPr>
            <w:rStyle w:val="Hyperlink"/>
          </w:rPr>
          <w:t xml:space="preserve">10.1371/journal.pone.0252617</w:t>
        </w:r>
      </w:hyperlink>
    </w:p>
    <w:bookmarkEnd w:id="55"/>
    <w:bookmarkStart w:id="57" w:name="ref-skowronski_serial_2022"/>
    <w:p>
      <w:pPr>
        <w:pStyle w:val="Bibliography"/>
      </w:pPr>
      <w:r>
        <w:t xml:space="preserve">11.</w:t>
      </w:r>
      <w:r>
        <w:t xml:space="preserve"> </w:t>
      </w:r>
      <w:r>
        <w:t xml:space="preserve">	</w:t>
      </w:r>
      <w:r>
        <w:t xml:space="preserve">Skowronski DM, Kaweski SE, Irvine MA, et al. Serial cross-sectional estimation of vaccine-and infection-induced</w:t>
      </w:r>
      <w:r>
        <w:t xml:space="preserve"> </w:t>
      </w:r>
      <w:r>
        <w:t xml:space="preserve">SARS</w:t>
      </w:r>
      <w:r>
        <w:t xml:space="preserve">-</w:t>
      </w:r>
      <w:r>
        <w:t xml:space="preserve">CoV</w:t>
      </w:r>
      <w:r>
        <w:t xml:space="preserve">-2 seroprevalence in</w:t>
      </w:r>
      <w:r>
        <w:t xml:space="preserve"> </w:t>
      </w:r>
      <w:r>
        <w:t xml:space="preserve">British</w:t>
      </w:r>
      <w:r>
        <w:t xml:space="preserve"> </w:t>
      </w:r>
      <w:r>
        <w:t xml:space="preserve">Columbia</w:t>
      </w:r>
      <w:r>
        <w:t xml:space="preserve">,</w:t>
      </w:r>
      <w:r>
        <w:t xml:space="preserve"> </w:t>
      </w:r>
      <w:r>
        <w:t xml:space="preserve">Canada</w:t>
      </w:r>
      <w:r>
        <w:t xml:space="preserve">.</w:t>
      </w:r>
      <w:r>
        <w:t xml:space="preserve"> </w:t>
      </w:r>
      <w:r>
        <w:rPr>
          <w:iCs/>
          <w:i/>
        </w:rPr>
        <w:t xml:space="preserve">CMAJ</w:t>
      </w:r>
      <w:r>
        <w:t xml:space="preserve">. 2022;194(47):E1599-E1609. doi:</w:t>
      </w:r>
      <w:hyperlink r:id="rId56">
        <w:r>
          <w:rPr>
            <w:rStyle w:val="Hyperlink"/>
          </w:rPr>
          <w:t xml:space="preserve">10.1503/cmaj.221335</w:t>
        </w:r>
      </w:hyperlink>
    </w:p>
    <w:bookmarkEnd w:id="57"/>
    <w:bookmarkStart w:id="59" w:name="ref-reedman_changing_2022"/>
    <w:p>
      <w:pPr>
        <w:pStyle w:val="Bibliography"/>
      </w:pPr>
      <w:r>
        <w:t xml:space="preserve">12.</w:t>
      </w:r>
      <w:r>
        <w:t xml:space="preserve"> </w:t>
      </w:r>
      <w:r>
        <w:t xml:space="preserve">	</w:t>
      </w:r>
      <w:r>
        <w:t xml:space="preserve">Reedman C, Drews S, Yi Q-L, Pambrun C, O’Brien S. Changing</w:t>
      </w:r>
      <w:r>
        <w:t xml:space="preserve"> </w:t>
      </w:r>
      <w:r>
        <w:t xml:space="preserve">Patterns</w:t>
      </w:r>
      <w:r>
        <w:t xml:space="preserve"> </w:t>
      </w:r>
      <w:r>
        <w:t xml:space="preserve">of</w:t>
      </w:r>
      <w:r>
        <w:t xml:space="preserve"> </w:t>
      </w:r>
      <w:r>
        <w:t xml:space="preserve">SARS</w:t>
      </w:r>
      <w:r>
        <w:t xml:space="preserve">-</w:t>
      </w:r>
      <w:r>
        <w:t xml:space="preserve">CoV</w:t>
      </w:r>
      <w:r>
        <w:t xml:space="preserve">-2</w:t>
      </w:r>
      <w:r>
        <w:t xml:space="preserve"> </w:t>
      </w:r>
      <w:r>
        <w:t xml:space="preserve">Seroprevalence</w:t>
      </w:r>
      <w:r>
        <w:t xml:space="preserve"> </w:t>
      </w:r>
      <w:r>
        <w:t xml:space="preserve">among</w:t>
      </w:r>
      <w:r>
        <w:t xml:space="preserve"> </w:t>
      </w:r>
      <w:r>
        <w:t xml:space="preserve">Canadian</w:t>
      </w:r>
      <w:r>
        <w:t xml:space="preserve"> </w:t>
      </w:r>
      <w:r>
        <w:t xml:space="preserve">Blood</w:t>
      </w:r>
      <w:r>
        <w:t xml:space="preserve"> </w:t>
      </w:r>
      <w:r>
        <w:t xml:space="preserve">Donors</w:t>
      </w:r>
      <w:r>
        <w:t xml:space="preserve"> </w:t>
      </w:r>
      <w:r>
        <w:t xml:space="preserve">during the</w:t>
      </w:r>
      <w:r>
        <w:t xml:space="preserve"> </w:t>
      </w:r>
      <w:r>
        <w:t xml:space="preserve">Vaccine</w:t>
      </w:r>
      <w:r>
        <w:t xml:space="preserve"> </w:t>
      </w:r>
      <w:r>
        <w:t xml:space="preserve">Era</w:t>
      </w:r>
      <w:r>
        <w:t xml:space="preserve">.</w:t>
      </w:r>
      <w:r>
        <w:t xml:space="preserve"> </w:t>
      </w:r>
      <w:r>
        <w:rPr>
          <w:iCs/>
          <w:i/>
        </w:rPr>
        <w:t xml:space="preserve">Microbiology Spectrum</w:t>
      </w:r>
      <w:r>
        <w:t xml:space="preserve">. 2022;10. doi:</w:t>
      </w:r>
      <w:hyperlink r:id="rId58">
        <w:r>
          <w:rPr>
            <w:rStyle w:val="Hyperlink"/>
          </w:rPr>
          <w:t xml:space="preserve">10.1128/spectrum.00339-22</w:t>
        </w:r>
      </w:hyperlink>
    </w:p>
    <w:bookmarkEnd w:id="59"/>
    <w:bookmarkStart w:id="61" w:name="ref-obrien_cross-canada_2023"/>
    <w:p>
      <w:pPr>
        <w:pStyle w:val="Bibliography"/>
      </w:pPr>
      <w:r>
        <w:t xml:space="preserve">13.</w:t>
      </w:r>
      <w:r>
        <w:t xml:space="preserve"> </w:t>
      </w:r>
      <w:r>
        <w:t xml:space="preserve">	</w:t>
      </w:r>
      <w:r>
        <w:t xml:space="preserve">O’Brien SF, Caffrey N, Yi Q-L, et al. Cross-</w:t>
      </w:r>
      <w:r>
        <w:t xml:space="preserve">Canada</w:t>
      </w:r>
      <w:r>
        <w:t xml:space="preserve"> </w:t>
      </w:r>
      <w:r>
        <w:t xml:space="preserve">Variability</w:t>
      </w:r>
      <w:r>
        <w:t xml:space="preserve"> </w:t>
      </w:r>
      <w:r>
        <w:t xml:space="preserve">in</w:t>
      </w:r>
      <w:r>
        <w:t xml:space="preserve"> </w:t>
      </w:r>
      <w:r>
        <w:t xml:space="preserve">Blood</w:t>
      </w:r>
      <w:r>
        <w:t xml:space="preserve"> </w:t>
      </w:r>
      <w:r>
        <w:t xml:space="preserve">Donor</w:t>
      </w:r>
      <w:r>
        <w:t xml:space="preserve"> </w:t>
      </w:r>
      <w:r>
        <w:t xml:space="preserve">SARS</w:t>
      </w:r>
      <w:r>
        <w:t xml:space="preserve">-</w:t>
      </w:r>
      <w:r>
        <w:t xml:space="preserve">CoV</w:t>
      </w:r>
      <w:r>
        <w:t xml:space="preserve">-2</w:t>
      </w:r>
      <w:r>
        <w:t xml:space="preserve"> </w:t>
      </w:r>
      <w:r>
        <w:t xml:space="preserve">Seroprevalence</w:t>
      </w:r>
      <w:r>
        <w:t xml:space="preserve"> </w:t>
      </w:r>
      <w:r>
        <w:t xml:space="preserve">by</w:t>
      </w:r>
      <w:r>
        <w:t xml:space="preserve"> </w:t>
      </w:r>
      <w:r>
        <w:t xml:space="preserve">Social</w:t>
      </w:r>
      <w:r>
        <w:t xml:space="preserve"> </w:t>
      </w:r>
      <w:r>
        <w:t xml:space="preserve">Determinants</w:t>
      </w:r>
      <w:r>
        <w:t xml:space="preserve"> </w:t>
      </w:r>
      <w:r>
        <w:t xml:space="preserve">of</w:t>
      </w:r>
      <w:r>
        <w:t xml:space="preserve"> </w:t>
      </w:r>
      <w:r>
        <w:t xml:space="preserve">Health</w:t>
      </w:r>
      <w:r>
        <w:t xml:space="preserve">.</w:t>
      </w:r>
      <w:r>
        <w:t xml:space="preserve"> </w:t>
      </w:r>
      <w:r>
        <w:rPr>
          <w:iCs/>
          <w:i/>
        </w:rPr>
        <w:t xml:space="preserve">Microbiology Spectrum</w:t>
      </w:r>
      <w:r>
        <w:t xml:space="preserve">. 2023;11(1):e03356-22. doi:</w:t>
      </w:r>
      <w:hyperlink r:id="rId60">
        <w:r>
          <w:rPr>
            <w:rStyle w:val="Hyperlink"/>
          </w:rPr>
          <w:t xml:space="preserve">10.1128/spectrum.03356-22</w:t>
        </w:r>
      </w:hyperlink>
    </w:p>
    <w:bookmarkEnd w:id="61"/>
    <w:bookmarkStart w:id="63" w:name="ref-goldfarb_sars-cov-2_2022"/>
    <w:p>
      <w:pPr>
        <w:pStyle w:val="Bibliography"/>
      </w:pPr>
      <w:r>
        <w:t xml:space="preserve">14.</w:t>
      </w:r>
      <w:r>
        <w:t xml:space="preserve"> </w:t>
      </w:r>
      <w:r>
        <w:t xml:space="preserve">	</w:t>
      </w:r>
      <w:r>
        <w:t xml:space="preserve">Goldfarb DM, Mâsse LC, Watts AW, et al.</w:t>
      </w:r>
      <w:r>
        <w:t xml:space="preserve"> </w:t>
      </w:r>
      <w:r>
        <w:t xml:space="preserve">SARS</w:t>
      </w:r>
      <w:r>
        <w:t xml:space="preserve">-</w:t>
      </w:r>
      <w:r>
        <w:t xml:space="preserve">CoV</w:t>
      </w:r>
      <w:r>
        <w:t xml:space="preserve">-2 seroprevalence among</w:t>
      </w:r>
      <w:r>
        <w:t xml:space="preserve"> </w:t>
      </w:r>
      <w:r>
        <w:t xml:space="preserve">Vancouver</w:t>
      </w:r>
      <w:r>
        <w:t xml:space="preserve"> </w:t>
      </w:r>
      <w:r>
        <w:t xml:space="preserve">public school staff in</w:t>
      </w:r>
      <w:r>
        <w:t xml:space="preserve"> </w:t>
      </w:r>
      <w:r>
        <w:t xml:space="preserve">British</w:t>
      </w:r>
      <w:r>
        <w:t xml:space="preserve"> </w:t>
      </w:r>
      <w:r>
        <w:t xml:space="preserve">Columbia</w:t>
      </w:r>
      <w:r>
        <w:t xml:space="preserve">,</w:t>
      </w:r>
      <w:r>
        <w:t xml:space="preserve"> </w:t>
      </w:r>
      <w:r>
        <w:t xml:space="preserve">Canada</w:t>
      </w:r>
      <w:r>
        <w:t xml:space="preserve">: A cross-sectional study.</w:t>
      </w:r>
      <w:r>
        <w:t xml:space="preserve"> </w:t>
      </w:r>
      <w:r>
        <w:rPr>
          <w:iCs/>
          <w:i/>
        </w:rPr>
        <w:t xml:space="preserve">BMJ Open</w:t>
      </w:r>
      <w:r>
        <w:t xml:space="preserve">. 2022;12(4):e057846. doi:</w:t>
      </w:r>
      <w:hyperlink r:id="rId62">
        <w:r>
          <w:rPr>
            <w:rStyle w:val="Hyperlink"/>
          </w:rPr>
          <w:t xml:space="preserve">10.1136/bmjopen-2021-057846</w:t>
        </w:r>
      </w:hyperlink>
    </w:p>
    <w:bookmarkEnd w:id="63"/>
    <w:bookmarkStart w:id="65" w:name="ref-lewin_sars-cov-2_2021"/>
    <w:p>
      <w:pPr>
        <w:pStyle w:val="Bibliography"/>
      </w:pPr>
      <w:r>
        <w:t xml:space="preserve">15.</w:t>
      </w:r>
      <w:r>
        <w:t xml:space="preserve"> </w:t>
      </w:r>
      <w:r>
        <w:t xml:space="preserve">	</w:t>
      </w:r>
      <w:r>
        <w:t xml:space="preserve">Lewin A, Therrien R, De Serres G, et al.</w:t>
      </w:r>
      <w:r>
        <w:t xml:space="preserve"> </w:t>
      </w:r>
      <w:r>
        <w:t xml:space="preserve">SARS</w:t>
      </w:r>
      <w:r>
        <w:t xml:space="preserve">-</w:t>
      </w:r>
      <w:r>
        <w:t xml:space="preserve">CoV</w:t>
      </w:r>
      <w:r>
        <w:t xml:space="preserve">-2 seroprevalence among blood donors in</w:t>
      </w:r>
      <w:r>
        <w:t xml:space="preserve"> </w:t>
      </w:r>
      <w:r>
        <w:t xml:space="preserve">Québec</w:t>
      </w:r>
      <w:r>
        <w:t xml:space="preserve">, and analysis of symptoms associated with seropositivity: A nested case-control study.</w:t>
      </w:r>
      <w:r>
        <w:t xml:space="preserve"> </w:t>
      </w:r>
      <w:r>
        <w:rPr>
          <w:iCs/>
          <w:i/>
        </w:rPr>
        <w:t xml:space="preserve">Can J Public Health</w:t>
      </w:r>
      <w:r>
        <w:t xml:space="preserve">. 2021;112(4):576-586. doi:</w:t>
      </w:r>
      <w:hyperlink r:id="rId64">
        <w:r>
          <w:rPr>
            <w:rStyle w:val="Hyperlink"/>
          </w:rPr>
          <w:t xml:space="preserve">10.17269/s41997-021-00531-6</w:t>
        </w:r>
      </w:hyperlink>
    </w:p>
    <w:bookmarkEnd w:id="65"/>
    <w:bookmarkStart w:id="67" w:name="ref-atsma_healthy_2011"/>
    <w:p>
      <w:pPr>
        <w:pStyle w:val="Bibliography"/>
      </w:pPr>
      <w:r>
        <w:t xml:space="preserve">16.</w:t>
      </w:r>
      <w:r>
        <w:t xml:space="preserve"> </w:t>
      </w:r>
      <w:r>
        <w:t xml:space="preserve">	</w:t>
      </w:r>
      <w:r>
        <w:t xml:space="preserve">Atsma F, Veldhuizen I, Verbeek A, Kort W de, Vegt F de. Healthy donor effect: Its magnitude in health research among blood donors.</w:t>
      </w:r>
      <w:r>
        <w:t xml:space="preserve"> </w:t>
      </w:r>
      <w:r>
        <w:rPr>
          <w:iCs/>
          <w:i/>
        </w:rPr>
        <w:t xml:space="preserve">Transfusion</w:t>
      </w:r>
      <w:r>
        <w:t xml:space="preserve">. 2011;51(8):1820-1828. doi:</w:t>
      </w:r>
      <w:hyperlink r:id="rId66">
        <w:r>
          <w:rPr>
            <w:rStyle w:val="Hyperlink"/>
          </w:rPr>
          <w:t xml:space="preserve">10.1111/j.1537-2995.2010.03055.x</w:t>
        </w:r>
      </w:hyperlink>
    </w:p>
    <w:bookmarkEnd w:id="67"/>
    <w:bookmarkStart w:id="69" w:name="ref-brms_2017"/>
    <w:p>
      <w:pPr>
        <w:pStyle w:val="Bibliography"/>
      </w:pPr>
      <w:r>
        <w:t xml:space="preserve">17.</w:t>
      </w:r>
      <w:r>
        <w:t xml:space="preserve"> </w:t>
      </w:r>
      <w:r>
        <w:t xml:space="preserve">	</w:t>
      </w:r>
      <w:r>
        <w:t xml:space="preserve">Bürkner P-C.</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 2017;80(1):1-28. doi:</w:t>
      </w:r>
      <w:hyperlink r:id="rId68">
        <w:r>
          <w:rPr>
            <w:rStyle w:val="Hyperlink"/>
          </w:rPr>
          <w:t xml:space="preserve">10.18637/jss.v080.i01</w:t>
        </w:r>
      </w:hyperlink>
    </w:p>
    <w:bookmarkEnd w:id="69"/>
    <w:bookmarkStart w:id="71" w:name="ref-lefebvre_socioeconomic_2023"/>
    <w:p>
      <w:pPr>
        <w:pStyle w:val="Bibliography"/>
      </w:pPr>
      <w:r>
        <w:t xml:space="preserve">18.</w:t>
      </w:r>
      <w:r>
        <w:t xml:space="preserve"> </w:t>
      </w:r>
      <w:r>
        <w:t xml:space="preserve">	</w:t>
      </w:r>
      <w:r>
        <w:t xml:space="preserve">Lefebvre G, Haddad S, Moncion-Groulx D, Saint-Onge M, Dontigny A. Socioeconomic disparities and concentration of the spread of the</w:t>
      </w:r>
      <w:r>
        <w:t xml:space="preserve"> </w:t>
      </w:r>
      <w:r>
        <w:t xml:space="preserve">COVID</w:t>
      </w:r>
      <w:r>
        <w:t xml:space="preserve">-19 pandemic in the province of</w:t>
      </w:r>
      <w:r>
        <w:t xml:space="preserve"> </w:t>
      </w:r>
      <w:r>
        <w:t xml:space="preserve">Quebec</w:t>
      </w:r>
      <w:r>
        <w:t xml:space="preserve">,</w:t>
      </w:r>
      <w:r>
        <w:t xml:space="preserve"> </w:t>
      </w:r>
      <w:r>
        <w:t xml:space="preserve">Canada</w:t>
      </w:r>
      <w:r>
        <w:t xml:space="preserve">.</w:t>
      </w:r>
      <w:r>
        <w:t xml:space="preserve"> </w:t>
      </w:r>
      <w:r>
        <w:rPr>
          <w:iCs/>
          <w:i/>
        </w:rPr>
        <w:t xml:space="preserve">BMC Public Health</w:t>
      </w:r>
      <w:r>
        <w:t xml:space="preserve">. 2023;23(1):1096. doi:</w:t>
      </w:r>
      <w:hyperlink r:id="rId70">
        <w:r>
          <w:rPr>
            <w:rStyle w:val="Hyperlink"/>
          </w:rPr>
          <w:t xml:space="preserve">10.1186/s12889-023-15983-3</w:t>
        </w:r>
      </w:hyperlink>
    </w:p>
    <w:bookmarkEnd w:id="71"/>
    <w:bookmarkStart w:id="73" w:name="ref-paudel_influence_2022"/>
    <w:p>
      <w:pPr>
        <w:pStyle w:val="Bibliography"/>
      </w:pPr>
      <w:r>
        <w:t xml:space="preserve">19.</w:t>
      </w:r>
      <w:r>
        <w:t xml:space="preserve"> </w:t>
      </w:r>
      <w:r>
        <w:t xml:space="preserve">	</w:t>
      </w:r>
      <w:r>
        <w:t xml:space="preserve">Paudel YR, Du C, MacDonald SE. The influence of place on</w:t>
      </w:r>
      <w:r>
        <w:t xml:space="preserve"> </w:t>
      </w:r>
      <w:r>
        <w:t xml:space="preserve">COVID</w:t>
      </w:r>
      <w:r>
        <w:t xml:space="preserve">-19 vaccine coverage in</w:t>
      </w:r>
      <w:r>
        <w:t xml:space="preserve"> </w:t>
      </w:r>
      <w:r>
        <w:t xml:space="preserve">Alberta</w:t>
      </w:r>
      <w:r>
        <w:t xml:space="preserve">:</w:t>
      </w:r>
      <w:r>
        <w:t xml:space="preserve"> </w:t>
      </w:r>
      <w:r>
        <w:t xml:space="preserve">A</w:t>
      </w:r>
      <w:r>
        <w:t xml:space="preserve"> </w:t>
      </w:r>
      <w:r>
        <w:t xml:space="preserve">multilevel analysis.</w:t>
      </w:r>
      <w:r>
        <w:t xml:space="preserve"> </w:t>
      </w:r>
      <w:r>
        <w:rPr>
          <w:iCs/>
          <w:i/>
        </w:rPr>
        <w:t xml:space="preserve">PLOS ONE</w:t>
      </w:r>
      <w:r>
        <w:t xml:space="preserve">. 2022;17(10):e0276160. doi:</w:t>
      </w:r>
      <w:hyperlink r:id="rId72">
        <w:r>
          <w:rPr>
            <w:rStyle w:val="Hyperlink"/>
          </w:rPr>
          <w:t xml:space="preserve">10.1371/journal.pone.0276160</w:t>
        </w:r>
      </w:hyperlink>
    </w:p>
    <w:bookmarkEnd w:id="73"/>
    <w:bookmarkStart w:id="75" w:name="ref-yiqing_xia_geographic_2022"/>
    <w:p>
      <w:pPr>
        <w:pStyle w:val="Bibliography"/>
      </w:pPr>
      <w:r>
        <w:t xml:space="preserve">20.</w:t>
      </w:r>
      <w:r>
        <w:t xml:space="preserve"> </w:t>
      </w:r>
      <w:r>
        <w:t xml:space="preserve">	</w:t>
      </w:r>
      <w:r>
        <w:t xml:space="preserve">Yiqing Xia, Huiting Ma, Gary Moloney, et al. Geographic concentration of</w:t>
      </w:r>
      <w:r>
        <w:t xml:space="preserve"> </w:t>
      </w:r>
      <w:r>
        <w:t xml:space="preserve">SARS</w:t>
      </w:r>
      <w:r>
        <w:t xml:space="preserve">-</w:t>
      </w:r>
      <w:r>
        <w:t xml:space="preserve">CoV</w:t>
      </w:r>
      <w:r>
        <w:t xml:space="preserve">-2 cases by social determinants of health in metropolitan areas in</w:t>
      </w:r>
      <w:r>
        <w:t xml:space="preserve"> </w:t>
      </w:r>
      <w:r>
        <w:t xml:space="preserve">Canada</w:t>
      </w:r>
      <w:r>
        <w:t xml:space="preserve">: A cross-sectional study.</w:t>
      </w:r>
      <w:r>
        <w:t xml:space="preserve"> </w:t>
      </w:r>
      <w:r>
        <w:rPr>
          <w:iCs/>
          <w:i/>
        </w:rPr>
        <w:t xml:space="preserve">Canadian Medical Association Journal</w:t>
      </w:r>
      <w:r>
        <w:t xml:space="preserve">. 2022;194(6):E195. doi:</w:t>
      </w:r>
      <w:hyperlink r:id="rId74">
        <w:r>
          <w:rPr>
            <w:rStyle w:val="Hyperlink"/>
          </w:rPr>
          <w:t xml:space="preserve">10.1503/cmaj.211249</w:t>
        </w:r>
      </w:hyperlink>
    </w:p>
    <w:bookmarkEnd w:id="75"/>
    <w:bookmarkStart w:id="76" w:name="ref-lee_carbayes_nodate"/>
    <w:p>
      <w:pPr>
        <w:pStyle w:val="Bibliography"/>
      </w:pPr>
      <w:r>
        <w:t xml:space="preserve">21.</w:t>
      </w:r>
      <w:r>
        <w:t xml:space="preserve"> </w:t>
      </w:r>
      <w:r>
        <w:t xml:space="preserve">	</w:t>
      </w:r>
      <w:r>
        <w:t xml:space="preserve">Lee D.</w:t>
      </w:r>
      <w:r>
        <w:t xml:space="preserve"> </w:t>
      </w:r>
      <w:r>
        <w:t xml:space="preserve">CARBayes</w:t>
      </w:r>
      <w:r>
        <w:t xml:space="preserve"> </w:t>
      </w:r>
      <w:r>
        <w:t xml:space="preserve">version 5.3:</w:t>
      </w:r>
      <w:r>
        <w:t xml:space="preserve"> </w:t>
      </w:r>
      <w:r>
        <w:t xml:space="preserve">An</w:t>
      </w:r>
      <w:r>
        <w:t xml:space="preserve"> </w:t>
      </w:r>
      <w:r>
        <w:t xml:space="preserve">R</w:t>
      </w:r>
      <w:r>
        <w:t xml:space="preserve"> </w:t>
      </w:r>
      <w:r>
        <w:t xml:space="preserve">package for spatial areal unit modelling with conditional autoregressive priors.</w:t>
      </w:r>
    </w:p>
    <w:bookmarkEnd w:id="76"/>
    <w:bookmarkStart w:id="78" w:name="ref-konstantinoudis_regional_2022"/>
    <w:p>
      <w:pPr>
        <w:pStyle w:val="Bibliography"/>
      </w:pPr>
      <w:r>
        <w:t xml:space="preserve">22.</w:t>
      </w:r>
      <w:r>
        <w:t xml:space="preserve"> </w:t>
      </w:r>
      <w:r>
        <w:t xml:space="preserve">	</w:t>
      </w:r>
      <w:r>
        <w:t xml:space="preserve">Konstantinoudis G, Cameletti M, Gómez-Rubio V, et al. Regional excess mortality during the 2020</w:t>
      </w:r>
      <w:r>
        <w:t xml:space="preserve"> </w:t>
      </w:r>
      <w:r>
        <w:t xml:space="preserve">COVID</w:t>
      </w:r>
      <w:r>
        <w:t xml:space="preserve">-19 pandemic in five</w:t>
      </w:r>
      <w:r>
        <w:t xml:space="preserve"> </w:t>
      </w:r>
      <w:r>
        <w:t xml:space="preserve">European</w:t>
      </w:r>
      <w:r>
        <w:t xml:space="preserve"> </w:t>
      </w:r>
      <w:r>
        <w:t xml:space="preserve">countries.</w:t>
      </w:r>
      <w:r>
        <w:t xml:space="preserve"> </w:t>
      </w:r>
      <w:r>
        <w:rPr>
          <w:iCs/>
          <w:i/>
        </w:rPr>
        <w:t xml:space="preserve">Nature Communications</w:t>
      </w:r>
      <w:r>
        <w:t xml:space="preserve">. 2022;13(1):482. doi:</w:t>
      </w:r>
      <w:hyperlink r:id="rId77">
        <w:r>
          <w:rPr>
            <w:rStyle w:val="Hyperlink"/>
          </w:rPr>
          <w:t xml:space="preserve">10.1038/s41467-022-28157-3</w:t>
        </w:r>
      </w:hyperlink>
    </w:p>
    <w:bookmarkEnd w:id="78"/>
    <w:bookmarkStart w:id="80" w:name="ref-xu_comparing_2014"/>
    <w:p>
      <w:pPr>
        <w:pStyle w:val="Bibliography"/>
      </w:pPr>
      <w:r>
        <w:t xml:space="preserve">23.</w:t>
      </w:r>
      <w:r>
        <w:t xml:space="preserve"> </w:t>
      </w:r>
      <w:r>
        <w:t xml:space="preserve">	</w:t>
      </w:r>
      <w:r>
        <w:t xml:space="preserve">Xu H. Comparing</w:t>
      </w:r>
      <w:r>
        <w:t xml:space="preserve"> </w:t>
      </w:r>
      <w:r>
        <w:t xml:space="preserve">Spatial</w:t>
      </w:r>
      <w:r>
        <w:t xml:space="preserve"> </w:t>
      </w:r>
      <w:r>
        <w:t xml:space="preserve">and</w:t>
      </w:r>
      <w:r>
        <w:t xml:space="preserve"> </w:t>
      </w:r>
      <w:r>
        <w:t xml:space="preserve">Multilevel</w:t>
      </w:r>
      <w:r>
        <w:t xml:space="preserve"> </w:t>
      </w:r>
      <w:r>
        <w:t xml:space="preserve">Regression</w:t>
      </w:r>
      <w:r>
        <w:t xml:space="preserve"> </w:t>
      </w:r>
      <w:r>
        <w:t xml:space="preserve">Models</w:t>
      </w:r>
      <w:r>
        <w:t xml:space="preserve"> </w:t>
      </w:r>
      <w:r>
        <w:t xml:space="preserve">for</w:t>
      </w:r>
      <w:r>
        <w:t xml:space="preserve"> </w:t>
      </w:r>
      <w:r>
        <w:t xml:space="preserve">Binary</w:t>
      </w:r>
      <w:r>
        <w:t xml:space="preserve"> </w:t>
      </w:r>
      <w:r>
        <w:t xml:space="preserve">Outcomes</w:t>
      </w:r>
      <w:r>
        <w:t xml:space="preserve"> </w:t>
      </w:r>
      <w:r>
        <w:t xml:space="preserve">in</w:t>
      </w:r>
      <w:r>
        <w:t xml:space="preserve"> </w:t>
      </w:r>
      <w:r>
        <w:t xml:space="preserve">Neighborhood</w:t>
      </w:r>
      <w:r>
        <w:t xml:space="preserve"> </w:t>
      </w:r>
      <w:r>
        <w:t xml:space="preserve">Studies</w:t>
      </w:r>
      <w:r>
        <w:t xml:space="preserve">.</w:t>
      </w:r>
      <w:r>
        <w:t xml:space="preserve"> </w:t>
      </w:r>
      <w:r>
        <w:rPr>
          <w:iCs/>
          <w:i/>
        </w:rPr>
        <w:t xml:space="preserve">Sociological methodology</w:t>
      </w:r>
      <w:r>
        <w:t xml:space="preserve">. 2014;44(1):229-272. doi:</w:t>
      </w:r>
      <w:hyperlink r:id="rId79">
        <w:r>
          <w:rPr>
            <w:rStyle w:val="Hyperlink"/>
          </w:rPr>
          <w:t xml:space="preserve">10.1177/0081175013490188</w:t>
        </w:r>
      </w:hyperlink>
    </w:p>
    <w:bookmarkEnd w:id="80"/>
    <w:bookmarkStart w:id="82" w:name="ref-besag_bayesian_1991"/>
    <w:p>
      <w:pPr>
        <w:pStyle w:val="Bibliography"/>
      </w:pPr>
      <w:r>
        <w:t xml:space="preserve">24.</w:t>
      </w:r>
      <w:r>
        <w:t xml:space="preserve"> </w:t>
      </w:r>
      <w:r>
        <w:t xml:space="preserve">	</w:t>
      </w:r>
      <w:r>
        <w:t xml:space="preserve">Besag J, York J, Mollié A. Bayesian image restoration, with two applications in spatial statistics.</w:t>
      </w:r>
      <w:r>
        <w:t xml:space="preserve"> </w:t>
      </w:r>
      <w:r>
        <w:rPr>
          <w:iCs/>
          <w:i/>
        </w:rPr>
        <w:t xml:space="preserve">Annals of the Institute of Statistical Mathematics</w:t>
      </w:r>
      <w:r>
        <w:t xml:space="preserve">. 1991;43(1):1-20. doi:</w:t>
      </w:r>
      <w:hyperlink r:id="rId81">
        <w:r>
          <w:rPr>
            <w:rStyle w:val="Hyperlink"/>
          </w:rPr>
          <w:t xml:space="preserve">10.1007/BF00116466</w:t>
        </w:r>
      </w:hyperlink>
    </w:p>
    <w:bookmarkEnd w:id="82"/>
    <w:bookmarkStart w:id="84" w:name="ref-djeudeu_multilevel_2022"/>
    <w:p>
      <w:pPr>
        <w:pStyle w:val="Bibliography"/>
      </w:pPr>
      <w:r>
        <w:t xml:space="preserve">25.</w:t>
      </w:r>
      <w:r>
        <w:t xml:space="preserve"> </w:t>
      </w:r>
      <w:r>
        <w:t xml:space="preserve">	</w:t>
      </w:r>
      <w:r>
        <w:t xml:space="preserve">Djeudeu D, Moebus S, Ickstadt K. Multilevel</w:t>
      </w:r>
      <w:r>
        <w:t xml:space="preserve"> </w:t>
      </w:r>
      <w:r>
        <w:t xml:space="preserve">Conditional</w:t>
      </w:r>
      <w:r>
        <w:t xml:space="preserve"> </w:t>
      </w:r>
      <w:r>
        <w:t xml:space="preserve">Autoregressive</w:t>
      </w:r>
      <w:r>
        <w:t xml:space="preserve"> </w:t>
      </w:r>
      <w:r>
        <w:t xml:space="preserve">models for longitudinal and spatially referenced epidemiological data.</w:t>
      </w:r>
      <w:r>
        <w:t xml:space="preserve"> </w:t>
      </w:r>
      <w:r>
        <w:rPr>
          <w:iCs/>
          <w:i/>
        </w:rPr>
        <w:t xml:space="preserve">Spatial and Spatio-temporal Epidemiology</w:t>
      </w:r>
      <w:r>
        <w:t xml:space="preserve">. 2022;41:100477. doi:</w:t>
      </w:r>
      <w:hyperlink r:id="rId83">
        <w:r>
          <w:rPr>
            <w:rStyle w:val="Hyperlink"/>
          </w:rPr>
          <w:t xml:space="preserve">10.1016/j.sste.2022.100477</w:t>
        </w:r>
      </w:hyperlink>
    </w:p>
    <w:bookmarkEnd w:id="84"/>
    <w:bookmarkStart w:id="86" w:name="ref-bucyibaruta_community-level_2022"/>
    <w:p>
      <w:pPr>
        <w:pStyle w:val="Bibliography"/>
      </w:pPr>
      <w:r>
        <w:t xml:space="preserve">26.</w:t>
      </w:r>
      <w:r>
        <w:t xml:space="preserve"> </w:t>
      </w:r>
      <w:r>
        <w:t xml:space="preserve">	</w:t>
      </w:r>
      <w:r>
        <w:t xml:space="preserve">Bucyibaruta G, Blangiardo M, Konstantinoudis G. Community-level characteristics of</w:t>
      </w:r>
      <w:r>
        <w:t xml:space="preserve"> </w:t>
      </w:r>
      <w:r>
        <w:t xml:space="preserve">COVID</w:t>
      </w:r>
      <w:r>
        <w:t xml:space="preserve">-19 vaccine hesitancy in</w:t>
      </w:r>
      <w:r>
        <w:t xml:space="preserve"> </w:t>
      </w:r>
      <w:r>
        <w:t xml:space="preserve">England</w:t>
      </w:r>
      <w:r>
        <w:t xml:space="preserve">:</w:t>
      </w:r>
      <w:r>
        <w:t xml:space="preserve"> </w:t>
      </w:r>
      <w:r>
        <w:t xml:space="preserve">A</w:t>
      </w:r>
      <w:r>
        <w:t xml:space="preserve"> </w:t>
      </w:r>
      <w:r>
        <w:t xml:space="preserve">nationwide cross-sectional study.</w:t>
      </w:r>
      <w:r>
        <w:t xml:space="preserve"> </w:t>
      </w:r>
      <w:r>
        <w:rPr>
          <w:iCs/>
          <w:i/>
        </w:rPr>
        <w:t xml:space="preserve">European Journal of Epidemiology</w:t>
      </w:r>
      <w:r>
        <w:t xml:space="preserve">. 2022;37(10):1071-1081. doi:</w:t>
      </w:r>
      <w:hyperlink r:id="rId85">
        <w:r>
          <w:rPr>
            <w:rStyle w:val="Hyperlink"/>
          </w:rPr>
          <w:t xml:space="preserve">10.1007/s10654-022-00905-1</w:t>
        </w:r>
      </w:hyperlink>
    </w:p>
    <w:bookmarkEnd w:id="86"/>
    <w:bookmarkStart w:id="88" w:name="ref-tang_assessment_2022"/>
    <w:p>
      <w:pPr>
        <w:pStyle w:val="Bibliography"/>
      </w:pPr>
      <w:r>
        <w:t xml:space="preserve">27.</w:t>
      </w:r>
      <w:r>
        <w:t xml:space="preserve"> </w:t>
      </w:r>
      <w:r>
        <w:t xml:space="preserve">	</w:t>
      </w:r>
      <w:r>
        <w:t xml:space="preserve">Tang X, Sharma A, Pasic M, et al. Assessment of</w:t>
      </w:r>
      <w:r>
        <w:t xml:space="preserve"> </w:t>
      </w:r>
      <w:r>
        <w:t xml:space="preserve">SARS</w:t>
      </w:r>
      <w:r>
        <w:t xml:space="preserve">-</w:t>
      </w:r>
      <w:r>
        <w:t xml:space="preserve">CoV</w:t>
      </w:r>
      <w:r>
        <w:t xml:space="preserve">-2</w:t>
      </w:r>
      <w:r>
        <w:t xml:space="preserve"> </w:t>
      </w:r>
      <w:r>
        <w:t xml:space="preserve">Seropositivity</w:t>
      </w:r>
      <w:r>
        <w:t xml:space="preserve"> </w:t>
      </w:r>
      <w:r>
        <w:t xml:space="preserve">During</w:t>
      </w:r>
      <w:r>
        <w:t xml:space="preserve"> </w:t>
      </w:r>
      <w:r>
        <w:t xml:space="preserve">the</w:t>
      </w:r>
      <w:r>
        <w:t xml:space="preserve"> </w:t>
      </w:r>
      <w:r>
        <w:t xml:space="preserve">First</w:t>
      </w:r>
      <w:r>
        <w:t xml:space="preserve"> </w:t>
      </w:r>
      <w:r>
        <w:t xml:space="preserve">and</w:t>
      </w:r>
      <w:r>
        <w:t xml:space="preserve"> </w:t>
      </w:r>
      <w:r>
        <w:t xml:space="preserve">Second</w:t>
      </w:r>
      <w:r>
        <w:t xml:space="preserve"> </w:t>
      </w:r>
      <w:r>
        <w:t xml:space="preserve">Viral</w:t>
      </w:r>
      <w:r>
        <w:t xml:space="preserve"> </w:t>
      </w:r>
      <w:r>
        <w:t xml:space="preserve">Waves</w:t>
      </w:r>
      <w:r>
        <w:t xml:space="preserve"> </w:t>
      </w:r>
      <w:r>
        <w:t xml:space="preserve">in 2020 and 2021</w:t>
      </w:r>
      <w:r>
        <w:t xml:space="preserve"> </w:t>
      </w:r>
      <w:r>
        <w:t xml:space="preserve">Among</w:t>
      </w:r>
      <w:r>
        <w:t xml:space="preserve"> </w:t>
      </w:r>
      <w:r>
        <w:t xml:space="preserve">Canadian</w:t>
      </w:r>
      <w:r>
        <w:t xml:space="preserve"> </w:t>
      </w:r>
      <w:r>
        <w:t xml:space="preserve">Adults</w:t>
      </w:r>
      <w:r>
        <w:t xml:space="preserve">.</w:t>
      </w:r>
      <w:r>
        <w:t xml:space="preserve"> </w:t>
      </w:r>
      <w:r>
        <w:rPr>
          <w:iCs/>
          <w:i/>
        </w:rPr>
        <w:t xml:space="preserve">JAMA Network Open</w:t>
      </w:r>
      <w:r>
        <w:t xml:space="preserve">. 2022;5(2):e2146798. doi:</w:t>
      </w:r>
      <w:hyperlink r:id="rId87">
        <w:r>
          <w:rPr>
            <w:rStyle w:val="Hyperlink"/>
          </w:rPr>
          <w:t xml:space="preserve">10.1001/jamanetworkopen.2021.46798</w:t>
        </w:r>
      </w:hyperlink>
    </w:p>
    <w:bookmarkEnd w:id="88"/>
    <w:bookmarkStart w:id="90" w:name="ref-byambasuren_comparison_2021"/>
    <w:p>
      <w:pPr>
        <w:pStyle w:val="Bibliography"/>
      </w:pPr>
      <w:r>
        <w:t xml:space="preserve">28.</w:t>
      </w:r>
      <w:r>
        <w:t xml:space="preserve"> </w:t>
      </w:r>
      <w:r>
        <w:t xml:space="preserve">	</w:t>
      </w:r>
      <w:r>
        <w:t xml:space="preserve">Byambasuren O, Dobler CC, Bell K, et al. Comparison of seroprevalence of</w:t>
      </w:r>
      <w:r>
        <w:t xml:space="preserve"> </w:t>
      </w:r>
      <w:r>
        <w:t xml:space="preserve">SARS</w:t>
      </w:r>
      <w:r>
        <w:t xml:space="preserve">-</w:t>
      </w:r>
      <w:r>
        <w:t xml:space="preserve">CoV</w:t>
      </w:r>
      <w:r>
        <w:t xml:space="preserve">-2 infections with cumulative and imputed</w:t>
      </w:r>
      <w:r>
        <w:t xml:space="preserve"> </w:t>
      </w:r>
      <w:r>
        <w:t xml:space="preserve">COVID</w:t>
      </w:r>
      <w:r>
        <w:t xml:space="preserve">-19 cases:</w:t>
      </w:r>
      <w:r>
        <w:t xml:space="preserve"> </w:t>
      </w:r>
      <w:r>
        <w:t xml:space="preserve">Systematic</w:t>
      </w:r>
      <w:r>
        <w:t xml:space="preserve"> </w:t>
      </w:r>
      <w:r>
        <w:t xml:space="preserve">review.</w:t>
      </w:r>
      <w:r>
        <w:t xml:space="preserve"> </w:t>
      </w:r>
      <w:r>
        <w:rPr>
          <w:iCs/>
          <w:i/>
        </w:rPr>
        <w:t xml:space="preserve">PLoS ONE</w:t>
      </w:r>
      <w:r>
        <w:t xml:space="preserve">. 2021;16(4):e0248946. doi:</w:t>
      </w:r>
      <w:hyperlink r:id="rId89">
        <w:r>
          <w:rPr>
            <w:rStyle w:val="Hyperlink"/>
          </w:rPr>
          <w:t xml:space="preserve">10.1371/journal.pone.0248946</w:t>
        </w:r>
      </w:hyperlink>
    </w:p>
    <w:bookmarkEnd w:id="90"/>
    <w:bookmarkStart w:id="92" w:name="ref-duncan_spatial_2017"/>
    <w:p>
      <w:pPr>
        <w:pStyle w:val="Bibliography"/>
      </w:pPr>
      <w:r>
        <w:t xml:space="preserve">29.</w:t>
      </w:r>
      <w:r>
        <w:t xml:space="preserve"> </w:t>
      </w:r>
      <w:r>
        <w:t xml:space="preserve">	</w:t>
      </w:r>
      <w:r>
        <w:t xml:space="preserve">Duncan EW, White NM, Mengersen K. Spatial smoothing in</w:t>
      </w:r>
      <w:r>
        <w:t xml:space="preserve"> </w:t>
      </w:r>
      <w:r>
        <w:t xml:space="preserve">Bayesian</w:t>
      </w:r>
      <w:r>
        <w:t xml:space="preserve"> </w:t>
      </w:r>
      <w:r>
        <w:t xml:space="preserve">models: A comparison of weights matrix specifications and their impact on inference.</w:t>
      </w:r>
      <w:r>
        <w:t xml:space="preserve"> </w:t>
      </w:r>
      <w:r>
        <w:rPr>
          <w:iCs/>
          <w:i/>
        </w:rPr>
        <w:t xml:space="preserve">International Journal of Health Geographics</w:t>
      </w:r>
      <w:r>
        <w:t xml:space="preserve">. 2017;16:47. doi:</w:t>
      </w:r>
      <w:hyperlink r:id="rId91">
        <w:r>
          <w:rPr>
            <w:rStyle w:val="Hyperlink"/>
          </w:rPr>
          <w:t xml:space="preserve">10.1186/s12942-017-0120-x</w:t>
        </w:r>
      </w:hyperlink>
    </w:p>
    <w:bookmarkEnd w:id="92"/>
    <w:bookmarkStart w:id="94" w:name="ref-earnest_evaluating_2007"/>
    <w:p>
      <w:pPr>
        <w:pStyle w:val="Bibliography"/>
      </w:pPr>
      <w:r>
        <w:t xml:space="preserve">30.</w:t>
      </w:r>
      <w:r>
        <w:t xml:space="preserve"> </w:t>
      </w:r>
      <w:r>
        <w:t xml:space="preserve">	</w:t>
      </w:r>
      <w:r>
        <w:t xml:space="preserve">Earnest A, Morgan G, Mengersen K, Ryan L, Summerhayes R, Beard J. Evaluating the effect of neighbourhood weight matrices on smoothing properties of</w:t>
      </w:r>
      <w:r>
        <w:t xml:space="preserve"> </w:t>
      </w:r>
      <w:r>
        <w:t xml:space="preserve">Conditional</w:t>
      </w:r>
      <w:r>
        <w:t xml:space="preserve"> </w:t>
      </w:r>
      <w:r>
        <w:t xml:space="preserve">Autoregressive</w:t>
      </w:r>
      <w:r>
        <w:t xml:space="preserve"> </w:t>
      </w:r>
      <w:r>
        <w:t xml:space="preserve">(</w:t>
      </w:r>
      <w:r>
        <w:t xml:space="preserve">CAR</w:t>
      </w:r>
      <w:r>
        <w:t xml:space="preserve">) models.</w:t>
      </w:r>
      <w:r>
        <w:t xml:space="preserve"> </w:t>
      </w:r>
      <w:r>
        <w:rPr>
          <w:iCs/>
          <w:i/>
        </w:rPr>
        <w:t xml:space="preserve">International Journal of Health Geographics</w:t>
      </w:r>
      <w:r>
        <w:t xml:space="preserve">. 2007;6(1):54. doi:</w:t>
      </w:r>
      <w:hyperlink r:id="rId93">
        <w:r>
          <w:rPr>
            <w:rStyle w:val="Hyperlink"/>
          </w:rPr>
          <w:t xml:space="preserve">10.1186/1476-072X-6-54</w:t>
        </w:r>
      </w:hyperlink>
    </w:p>
    <w:bookmarkEnd w:id="94"/>
    <w:bookmarkStart w:id="96" w:name="ref-mets_spatial_2017"/>
    <w:p>
      <w:pPr>
        <w:pStyle w:val="Bibliography"/>
      </w:pPr>
      <w:r>
        <w:t xml:space="preserve">31.</w:t>
      </w:r>
      <w:r>
        <w:t xml:space="preserve"> </w:t>
      </w:r>
      <w:r>
        <w:t xml:space="preserve">	</w:t>
      </w:r>
      <w:r>
        <w:t xml:space="preserve">Mets KD, Armenteras D, Dávalos LM. Spatial autocorrelation reduces model precision and predictive power in deforestation analyses.</w:t>
      </w:r>
      <w:r>
        <w:t xml:space="preserve"> </w:t>
      </w:r>
      <w:r>
        <w:rPr>
          <w:iCs/>
          <w:i/>
        </w:rPr>
        <w:t xml:space="preserve">Ecosphere</w:t>
      </w:r>
      <w:r>
        <w:t xml:space="preserve">. 2017;8(5):e01824. doi:</w:t>
      </w:r>
      <w:hyperlink r:id="rId95">
        <w:r>
          <w:rPr>
            <w:rStyle w:val="Hyperlink"/>
          </w:rPr>
          <w:t xml:space="preserve">10.1002/ecs2.1824</w:t>
        </w:r>
      </w:hyperlink>
    </w:p>
    <w:bookmarkEnd w:id="96"/>
    <w:bookmarkStart w:id="98" w:name="ref-bryan_multilevel_2016"/>
    <w:p>
      <w:pPr>
        <w:pStyle w:val="Bibliography"/>
      </w:pPr>
      <w:r>
        <w:t xml:space="preserve">32.</w:t>
      </w:r>
      <w:r>
        <w:t xml:space="preserve"> </w:t>
      </w:r>
      <w:r>
        <w:t xml:space="preserve">	</w:t>
      </w:r>
      <w:r>
        <w:t xml:space="preserve">Bryan ML, Jenkins SP. Multilevel</w:t>
      </w:r>
      <w:r>
        <w:t xml:space="preserve"> </w:t>
      </w:r>
      <w:r>
        <w:t xml:space="preserve">Modelling</w:t>
      </w:r>
      <w:r>
        <w:t xml:space="preserve"> </w:t>
      </w:r>
      <w:r>
        <w:t xml:space="preserve">of</w:t>
      </w:r>
      <w:r>
        <w:t xml:space="preserve"> </w:t>
      </w:r>
      <w:r>
        <w:t xml:space="preserve">Country</w:t>
      </w:r>
      <w:r>
        <w:t xml:space="preserve"> </w:t>
      </w:r>
      <w:r>
        <w:t xml:space="preserve">Effects</w:t>
      </w:r>
      <w:r>
        <w:t xml:space="preserve">:</w:t>
      </w:r>
      <w:r>
        <w:t xml:space="preserve"> </w:t>
      </w:r>
      <w:r>
        <w:t xml:space="preserve">A</w:t>
      </w:r>
      <w:r>
        <w:t xml:space="preserve"> </w:t>
      </w:r>
      <w:r>
        <w:t xml:space="preserve">Cautionary</w:t>
      </w:r>
      <w:r>
        <w:t xml:space="preserve"> </w:t>
      </w:r>
      <w:r>
        <w:t xml:space="preserve">Tale</w:t>
      </w:r>
      <w:r>
        <w:t xml:space="preserve">.</w:t>
      </w:r>
      <w:r>
        <w:t xml:space="preserve"> </w:t>
      </w:r>
      <w:r>
        <w:rPr>
          <w:iCs/>
          <w:i/>
        </w:rPr>
        <w:t xml:space="preserve">European Sociological Review</w:t>
      </w:r>
      <w:r>
        <w:t xml:space="preserve">. 2016;32(1):3-22. doi:</w:t>
      </w:r>
      <w:hyperlink r:id="rId97">
        <w:r>
          <w:rPr>
            <w:rStyle w:val="Hyperlink"/>
          </w:rPr>
          <w:t xml:space="preserve">10.1093/esr/jcv059</w:t>
        </w:r>
      </w:hyperlink>
    </w:p>
    <w:bookmarkEnd w:id="98"/>
    <w:bookmarkStart w:id="100" w:name="ref-noauthor_containing_2021"/>
    <w:p>
      <w:pPr>
        <w:pStyle w:val="Bibliography"/>
      </w:pPr>
      <w:r>
        <w:t xml:space="preserve">33.</w:t>
      </w:r>
      <w:r>
        <w:t xml:space="preserve"> </w:t>
      </w:r>
      <w:r>
        <w:t xml:space="preserve">	</w:t>
      </w:r>
      <w:r>
        <w:t xml:space="preserve">Containing</w:t>
      </w:r>
      <w:r>
        <w:t xml:space="preserve"> </w:t>
      </w:r>
      <w:r>
        <w:t xml:space="preserve">COVID</w:t>
      </w:r>
      <w:r>
        <w:t xml:space="preserve">-19: How a</w:t>
      </w:r>
      <w:r>
        <w:t xml:space="preserve"> </w:t>
      </w:r>
      <w:r>
        <w:t xml:space="preserve">Calgary</w:t>
      </w:r>
      <w:r>
        <w:t xml:space="preserve"> </w:t>
      </w:r>
      <w:r>
        <w:t xml:space="preserve">health team helped suppress an outbreak at a meat-packing plant.</w:t>
      </w:r>
      <w:r>
        <w:t xml:space="preserve"> </w:t>
      </w:r>
      <w:r>
        <w:rPr>
          <w:iCs/>
          <w:i/>
        </w:rPr>
        <w:t xml:space="preserve">Canadian Medical Association</w:t>
      </w:r>
      <w:r>
        <w:t xml:space="preserve">. August 2021.</w:t>
      </w:r>
      <w:r>
        <w:t xml:space="preserve"> </w:t>
      </w:r>
      <w:hyperlink r:id="rId99">
        <w:r>
          <w:rPr>
            <w:rStyle w:val="Hyperlink"/>
          </w:rPr>
          <w:t xml:space="preserve">https://www.cma.ca/clinical-blog/containing-covid-19-how-calgary-health-team-helped-suppress-outbreak-meat-packing</w:t>
        </w:r>
      </w:hyperlink>
      <w:r>
        <w:t xml:space="preserve">. Accessed July 4, 2023.</w:t>
      </w:r>
    </w:p>
    <w:bookmarkEnd w:id="100"/>
    <w:bookmarkStart w:id="102" w:name="ref-barros_importance_2023"/>
    <w:p>
      <w:pPr>
        <w:pStyle w:val="Bibliography"/>
      </w:pPr>
      <w:r>
        <w:t xml:space="preserve">34.</w:t>
      </w:r>
      <w:r>
        <w:t xml:space="preserve"> </w:t>
      </w:r>
      <w:r>
        <w:t xml:space="preserve">	</w:t>
      </w:r>
      <w:r>
        <w:t xml:space="preserve">Barros DD, Mathias M da L, Borges PAV, Borda-de-Água L. The</w:t>
      </w:r>
      <w:r>
        <w:t xml:space="preserve"> </w:t>
      </w:r>
      <w:r>
        <w:t xml:space="preserve">Importance</w:t>
      </w:r>
      <w:r>
        <w:t xml:space="preserve"> </w:t>
      </w:r>
      <w:r>
        <w:t xml:space="preserve">of</w:t>
      </w:r>
      <w:r>
        <w:t xml:space="preserve"> </w:t>
      </w:r>
      <w:r>
        <w:t xml:space="preserve">Including</w:t>
      </w:r>
      <w:r>
        <w:t xml:space="preserve"> </w:t>
      </w:r>
      <w:r>
        <w:t xml:space="preserve">Spatial</w:t>
      </w:r>
      <w:r>
        <w:t xml:space="preserve"> </w:t>
      </w:r>
      <w:r>
        <w:t xml:space="preserve">Autocorrelation</w:t>
      </w:r>
      <w:r>
        <w:t xml:space="preserve"> </w:t>
      </w:r>
      <w:r>
        <w:t xml:space="preserve">When</w:t>
      </w:r>
      <w:r>
        <w:t xml:space="preserve"> </w:t>
      </w:r>
      <w:r>
        <w:t xml:space="preserve">Modelling</w:t>
      </w:r>
      <w:r>
        <w:t xml:space="preserve"> </w:t>
      </w:r>
      <w:r>
        <w:t xml:space="preserve">Species</w:t>
      </w:r>
      <w:r>
        <w:t xml:space="preserve"> </w:t>
      </w:r>
      <w:r>
        <w:t xml:space="preserve">Richness</w:t>
      </w:r>
      <w:r>
        <w:t xml:space="preserve"> </w:t>
      </w:r>
      <w:r>
        <w:t xml:space="preserve">in</w:t>
      </w:r>
      <w:r>
        <w:t xml:space="preserve"> </w:t>
      </w:r>
      <w:r>
        <w:t xml:space="preserve">Archipelagos</w:t>
      </w:r>
      <w:r>
        <w:t xml:space="preserve">:</w:t>
      </w:r>
      <w:r>
        <w:t xml:space="preserve"> </w:t>
      </w:r>
      <w:r>
        <w:t xml:space="preserve">A</w:t>
      </w:r>
      <w:r>
        <w:t xml:space="preserve"> </w:t>
      </w:r>
      <w:r>
        <w:t xml:space="preserve">Bayesian</w:t>
      </w:r>
      <w:r>
        <w:t xml:space="preserve"> </w:t>
      </w:r>
      <w:r>
        <w:t xml:space="preserve">Approach</w:t>
      </w:r>
      <w:r>
        <w:t xml:space="preserve">.</w:t>
      </w:r>
      <w:r>
        <w:t xml:space="preserve"> </w:t>
      </w:r>
      <w:r>
        <w:rPr>
          <w:iCs/>
          <w:i/>
        </w:rPr>
        <w:t xml:space="preserve">Diversity</w:t>
      </w:r>
      <w:r>
        <w:t xml:space="preserve">. 2023;15(2):127. doi:</w:t>
      </w:r>
      <w:hyperlink r:id="rId101">
        <w:r>
          <w:rPr>
            <w:rStyle w:val="Hyperlink"/>
          </w:rPr>
          <w:t xml:space="preserve">10.3390/d15020127</w:t>
        </w:r>
      </w:hyperlink>
    </w:p>
    <w:bookmarkEnd w:id="102"/>
    <w:bookmarkStart w:id="104" w:name="ref-lewin_research_2022"/>
    <w:p>
      <w:pPr>
        <w:pStyle w:val="Bibliography"/>
      </w:pPr>
      <w:r>
        <w:t xml:space="preserve">35.</w:t>
      </w:r>
      <w:r>
        <w:t xml:space="preserve"> </w:t>
      </w:r>
      <w:r>
        <w:t xml:space="preserve">	</w:t>
      </w:r>
      <w:r>
        <w:t xml:space="preserve">Lewin A, Osiowy C, Erikstrup C, et al. Research partnerships between blood services and public health authorities:</w:t>
      </w:r>
      <w:r>
        <w:t xml:space="preserve"> </w:t>
      </w:r>
      <w:r>
        <w:t xml:space="preserve">An</w:t>
      </w:r>
      <w:r>
        <w:t xml:space="preserve"> </w:t>
      </w:r>
      <w:r>
        <w:t xml:space="preserve">international, cross-sectional survey.</w:t>
      </w:r>
      <w:r>
        <w:t xml:space="preserve"> </w:t>
      </w:r>
      <w:r>
        <w:rPr>
          <w:iCs/>
          <w:i/>
        </w:rPr>
        <w:t xml:space="preserve">Vox Sanguinis</w:t>
      </w:r>
      <w:r>
        <w:t xml:space="preserve">. 2022;117(12):1368-1374. doi:</w:t>
      </w:r>
      <w:hyperlink r:id="rId103">
        <w:r>
          <w:rPr>
            <w:rStyle w:val="Hyperlink"/>
          </w:rPr>
          <w:t xml:space="preserve">10.1111/vox.13374</w:t>
        </w:r>
      </w:hyperlink>
    </w:p>
    <w:bookmarkEnd w:id="104"/>
    <w:bookmarkStart w:id="106" w:name="ref-obrien_how_2022"/>
    <w:p>
      <w:pPr>
        <w:pStyle w:val="Bibliography"/>
      </w:pPr>
      <w:r>
        <w:t xml:space="preserve">36.</w:t>
      </w:r>
      <w:r>
        <w:t xml:space="preserve"> </w:t>
      </w:r>
      <w:r>
        <w:t xml:space="preserve">	</w:t>
      </w:r>
      <w:r>
        <w:t xml:space="preserve">O’Brien SF, Drews SJ, Lewin A, et al. How do we decide how representative our donors are for public health surveillance?</w:t>
      </w:r>
      <w:r>
        <w:t xml:space="preserve"> </w:t>
      </w:r>
      <w:r>
        <w:rPr>
          <w:iCs/>
          <w:i/>
        </w:rPr>
        <w:t xml:space="preserve">Transfusion</w:t>
      </w:r>
      <w:r>
        <w:t xml:space="preserve">. 2022;62(12):2431-2437. doi:</w:t>
      </w:r>
      <w:hyperlink r:id="rId105">
        <w:r>
          <w:rPr>
            <w:rStyle w:val="Hyperlink"/>
          </w:rPr>
          <w:t xml:space="preserve">10.1111/trf.17140</w:t>
        </w:r>
      </w:hyperlink>
    </w:p>
    <w:bookmarkEnd w:id="106"/>
    <w:bookmarkStart w:id="108" w:name="ref-pampalon_area-based_2012"/>
    <w:p>
      <w:pPr>
        <w:pStyle w:val="Bibliography"/>
      </w:pPr>
      <w:r>
        <w:t xml:space="preserve">37.</w:t>
      </w:r>
      <w:r>
        <w:t xml:space="preserve"> </w:t>
      </w:r>
      <w:r>
        <w:t xml:space="preserve">	</w:t>
      </w:r>
      <w:r>
        <w:t xml:space="preserve">Pampalon R, Hamel D, Gamache P, Philibert MD, Raymond G, Simpson A. An</w:t>
      </w:r>
      <w:r>
        <w:t xml:space="preserve"> </w:t>
      </w:r>
      <w:r>
        <w:t xml:space="preserve">Area</w:t>
      </w:r>
      <w:r>
        <w:t xml:space="preserve">-based</w:t>
      </w:r>
      <w:r>
        <w:t xml:space="preserve"> </w:t>
      </w:r>
      <w:r>
        <w:t xml:space="preserve">Material</w:t>
      </w:r>
      <w:r>
        <w:t xml:space="preserve"> </w:t>
      </w:r>
      <w:r>
        <w:t xml:space="preserve">and</w:t>
      </w:r>
      <w:r>
        <w:t xml:space="preserve"> </w:t>
      </w:r>
      <w:r>
        <w:t xml:space="preserve">Social</w:t>
      </w:r>
      <w:r>
        <w:t xml:space="preserve"> </w:t>
      </w:r>
      <w:r>
        <w:t xml:space="preserve">Deprivation</w:t>
      </w:r>
      <w:r>
        <w:t xml:space="preserve"> </w:t>
      </w:r>
      <w:r>
        <w:t xml:space="preserve">Index</w:t>
      </w:r>
      <w:r>
        <w:t xml:space="preserve"> </w:t>
      </w:r>
      <w:r>
        <w:t xml:space="preserve">for</w:t>
      </w:r>
      <w:r>
        <w:t xml:space="preserve"> </w:t>
      </w:r>
      <w:r>
        <w:t xml:space="preserve">Public</w:t>
      </w:r>
      <w:r>
        <w:t xml:space="preserve"> </w:t>
      </w:r>
      <w:r>
        <w:t xml:space="preserve">Health</w:t>
      </w:r>
      <w:r>
        <w:t xml:space="preserve"> </w:t>
      </w:r>
      <w:r>
        <w:t xml:space="preserve">in</w:t>
      </w:r>
      <w:r>
        <w:t xml:space="preserve"> </w:t>
      </w:r>
      <w:r>
        <w:t xml:space="preserve">Québec</w:t>
      </w:r>
      <w:r>
        <w:t xml:space="preserve"> </w:t>
      </w:r>
      <w:r>
        <w:t xml:space="preserve">and</w:t>
      </w:r>
      <w:r>
        <w:t xml:space="preserve"> </w:t>
      </w:r>
      <w:r>
        <w:t xml:space="preserve">Canada</w:t>
      </w:r>
      <w:r>
        <w:t xml:space="preserve">.</w:t>
      </w:r>
      <w:r>
        <w:t xml:space="preserve"> </w:t>
      </w:r>
      <w:r>
        <w:rPr>
          <w:iCs/>
          <w:i/>
        </w:rPr>
        <w:t xml:space="preserve">Canadian Journal of Public Health / Revue Canadienne de Sante’e Publique</w:t>
      </w:r>
      <w:r>
        <w:t xml:space="preserve">. 2012;103:S17-S22.</w:t>
      </w:r>
      <w:r>
        <w:t xml:space="preserve"> </w:t>
      </w:r>
      <w:hyperlink r:id="rId107">
        <w:r>
          <w:rPr>
            <w:rStyle w:val="Hyperlink"/>
          </w:rPr>
          <w:t xml:space="preserve">https://www.jstor.org/stable/41995684</w:t>
        </w:r>
      </w:hyperlink>
      <w:r>
        <w:t xml:space="preserve">. Accessed July 21, 2023.</w:t>
      </w:r>
    </w:p>
    <w:bookmarkEnd w:id="108"/>
    <w:bookmarkStart w:id="110" w:name="ref-obrien_sars-cov-2_2023"/>
    <w:p>
      <w:pPr>
        <w:pStyle w:val="Bibliography"/>
      </w:pPr>
      <w:r>
        <w:t xml:space="preserve">38.</w:t>
      </w:r>
      <w:r>
        <w:t xml:space="preserve"> </w:t>
      </w:r>
      <w:r>
        <w:t xml:space="preserve">	</w:t>
      </w:r>
      <w:r>
        <w:t xml:space="preserve">O’Brien S, Reedman C, Yi Q-L, Drews S.</w:t>
      </w:r>
      <w:r>
        <w:t xml:space="preserve"> </w:t>
      </w:r>
      <w:r>
        <w:t xml:space="preserve">SARS</w:t>
      </w:r>
      <w:r>
        <w:t xml:space="preserve">-</w:t>
      </w:r>
      <w:r>
        <w:t xml:space="preserve">CoV</w:t>
      </w:r>
      <w:r>
        <w:t xml:space="preserve">-2</w:t>
      </w:r>
      <w:r>
        <w:t xml:space="preserve"> </w:t>
      </w:r>
      <w:r>
        <w:t xml:space="preserve">Seroprevalence</w:t>
      </w:r>
      <w:r>
        <w:t xml:space="preserve"> </w:t>
      </w:r>
      <w:r>
        <w:t xml:space="preserve">in the</w:t>
      </w:r>
      <w:r>
        <w:t xml:space="preserve"> </w:t>
      </w:r>
      <w:r>
        <w:t xml:space="preserve">Vaccine</w:t>
      </w:r>
      <w:r>
        <w:t xml:space="preserve"> </w:t>
      </w:r>
      <w:r>
        <w:t xml:space="preserve">Era</w:t>
      </w:r>
      <w:r>
        <w:t xml:space="preserve">:</w:t>
      </w:r>
      <w:r>
        <w:t xml:space="preserve"> </w:t>
      </w:r>
      <w:r>
        <w:t xml:space="preserve">The</w:t>
      </w:r>
      <w:r>
        <w:t xml:space="preserve"> </w:t>
      </w:r>
      <w:r>
        <w:t xml:space="preserve">Canadian</w:t>
      </w:r>
      <w:r>
        <w:t xml:space="preserve"> </w:t>
      </w:r>
      <w:r>
        <w:t xml:space="preserve">Blood</w:t>
      </w:r>
      <w:r>
        <w:t xml:space="preserve"> </w:t>
      </w:r>
      <w:r>
        <w:t xml:space="preserve">Services</w:t>
      </w:r>
      <w:r>
        <w:t xml:space="preserve"> </w:t>
      </w:r>
      <w:r>
        <w:t xml:space="preserve">Serosurvey</w:t>
      </w:r>
      <w:r>
        <w:t xml:space="preserve"> </w:t>
      </w:r>
      <w:r>
        <w:t xml:space="preserve">January</w:t>
      </w:r>
      <w:r>
        <w:t xml:space="preserve"> </w:t>
      </w:r>
      <w:r>
        <w:t xml:space="preserve">to</w:t>
      </w:r>
      <w:r>
        <w:t xml:space="preserve"> </w:t>
      </w:r>
      <w:r>
        <w:t xml:space="preserve">November</w:t>
      </w:r>
      <w:r>
        <w:t xml:space="preserve"> </w:t>
      </w:r>
      <w:r>
        <w:t xml:space="preserve">2021.</w:t>
      </w:r>
      <w:r>
        <w:t xml:space="preserve"> </w:t>
      </w:r>
      <w:r>
        <w:rPr>
          <w:iCs/>
          <w:i/>
        </w:rPr>
        <w:t xml:space="preserve">Transfusion Medicine Reviews</w:t>
      </w:r>
      <w:r>
        <w:t xml:space="preserve">. 2023;37(1):42. doi:</w:t>
      </w:r>
      <w:hyperlink r:id="rId109">
        <w:r>
          <w:rPr>
            <w:rStyle w:val="Hyperlink"/>
          </w:rPr>
          <w:t xml:space="preserve">10.1016/j.tmrv.2022.12.006</w:t>
        </w:r>
      </w:hyperlink>
    </w:p>
    <w:bookmarkEnd w:id="110"/>
    <w:bookmarkStart w:id="112" w:name="ref-obrien_sars-cov-2_2022"/>
    <w:p>
      <w:pPr>
        <w:pStyle w:val="Bibliography"/>
      </w:pPr>
      <w:r>
        <w:t xml:space="preserve">39.</w:t>
      </w:r>
      <w:r>
        <w:t xml:space="preserve"> </w:t>
      </w:r>
      <w:r>
        <w:t xml:space="preserve">	</w:t>
      </w:r>
      <w:r>
        <w:t xml:space="preserve">O’Brien SF, Caffrey N, Yi Q-L, Pambrun C, Drews SJ.</w:t>
      </w:r>
      <w:r>
        <w:t xml:space="preserve"> </w:t>
      </w:r>
      <w:r>
        <w:t xml:space="preserve">SARS</w:t>
      </w:r>
      <w:r>
        <w:t xml:space="preserve">-</w:t>
      </w:r>
      <w:r>
        <w:t xml:space="preserve">CoV</w:t>
      </w:r>
      <w:r>
        <w:t xml:space="preserve">-2</w:t>
      </w:r>
      <w:r>
        <w:t xml:space="preserve"> </w:t>
      </w:r>
      <w:r>
        <w:t xml:space="preserve">Seroprevalence</w:t>
      </w:r>
      <w:r>
        <w:t xml:space="preserve"> </w:t>
      </w:r>
      <w:r>
        <w:t xml:space="preserve">among</w:t>
      </w:r>
      <w:r>
        <w:t xml:space="preserve"> </w:t>
      </w:r>
      <w:r>
        <w:t xml:space="preserve">Canadian</w:t>
      </w:r>
      <w:r>
        <w:t xml:space="preserve"> </w:t>
      </w:r>
      <w:r>
        <w:t xml:space="preserve">Blood</w:t>
      </w:r>
      <w:r>
        <w:t xml:space="preserve"> </w:t>
      </w:r>
      <w:r>
        <w:t xml:space="preserve">Donors</w:t>
      </w:r>
      <w:r>
        <w:t xml:space="preserve">:</w:t>
      </w:r>
      <w:r>
        <w:t xml:space="preserve"> </w:t>
      </w:r>
      <w:r>
        <w:t xml:space="preserve">The</w:t>
      </w:r>
      <w:r>
        <w:t xml:space="preserve"> </w:t>
      </w:r>
      <w:r>
        <w:t xml:space="preserve">Advance</w:t>
      </w:r>
      <w:r>
        <w:t xml:space="preserve"> </w:t>
      </w:r>
      <w:r>
        <w:t xml:space="preserve">of</w:t>
      </w:r>
      <w:r>
        <w:t xml:space="preserve"> </w:t>
      </w:r>
      <w:r>
        <w:t xml:space="preserve">Omicron</w:t>
      </w:r>
      <w:r>
        <w:t xml:space="preserve">.</w:t>
      </w:r>
      <w:r>
        <w:t xml:space="preserve"> </w:t>
      </w:r>
      <w:r>
        <w:rPr>
          <w:iCs/>
          <w:i/>
        </w:rPr>
        <w:t xml:space="preserve">Viruses</w:t>
      </w:r>
      <w:r>
        <w:t xml:space="preserve">. 2022;14(11):2336. doi:</w:t>
      </w:r>
      <w:hyperlink r:id="rId111">
        <w:r>
          <w:rPr>
            <w:rStyle w:val="Hyperlink"/>
          </w:rPr>
          <w:t xml:space="preserve">10.3390/v14112336</w:t>
        </w:r>
      </w:hyperlink>
    </w:p>
    <w:bookmarkEnd w:id="112"/>
    <w:bookmarkStart w:id="114" w:name="ref-welch_detection_2001"/>
    <w:p>
      <w:pPr>
        <w:pStyle w:val="Bibliography"/>
      </w:pPr>
      <w:r>
        <w:t xml:space="preserve">40.</w:t>
      </w:r>
      <w:r>
        <w:t xml:space="preserve"> </w:t>
      </w:r>
      <w:r>
        <w:t xml:space="preserve">	</w:t>
      </w:r>
      <w:r>
        <w:t xml:space="preserve">Welch JB, McGowan K, Searle B, Gillon J, Jarvis LM, Simmonds P. Detection of enterovirus viraemia in blood donors.</w:t>
      </w:r>
      <w:r>
        <w:t xml:space="preserve"> </w:t>
      </w:r>
      <w:r>
        <w:rPr>
          <w:iCs/>
          <w:i/>
        </w:rPr>
        <w:t xml:space="preserve">Vox Sanguinis</w:t>
      </w:r>
      <w:r>
        <w:t xml:space="preserve">. 2001;80(4):211-215. doi:</w:t>
      </w:r>
      <w:hyperlink r:id="rId113">
        <w:r>
          <w:rPr>
            <w:rStyle w:val="Hyperlink"/>
          </w:rPr>
          <w:t xml:space="preserve">10.1046/j.1423-0410.2001.00035.x</w:t>
        </w:r>
      </w:hyperlink>
    </w:p>
    <w:bookmarkEnd w:id="114"/>
    <w:bookmarkStart w:id="116" w:name="ref-aaskov_surveillance_1998"/>
    <w:p>
      <w:pPr>
        <w:pStyle w:val="Bibliography"/>
      </w:pPr>
      <w:r>
        <w:t xml:space="preserve">41.</w:t>
      </w:r>
      <w:r>
        <w:t xml:space="preserve"> </w:t>
      </w:r>
      <w:r>
        <w:t xml:space="preserve">	</w:t>
      </w:r>
      <w:r>
        <w:t xml:space="preserve">Aaskov JG, Chen JY, Hanh NT, Dennington PM. Surveillance for</w:t>
      </w:r>
      <w:r>
        <w:t xml:space="preserve"> </w:t>
      </w:r>
      <w:r>
        <w:t xml:space="preserve">Ross</w:t>
      </w:r>
      <w:r>
        <w:t xml:space="preserve"> </w:t>
      </w:r>
      <w:r>
        <w:t xml:space="preserve">River</w:t>
      </w:r>
      <w:r>
        <w:t xml:space="preserve"> </w:t>
      </w:r>
      <w:r>
        <w:t xml:space="preserve">virus infection using blood donors.</w:t>
      </w:r>
      <w:r>
        <w:t xml:space="preserve"> </w:t>
      </w:r>
      <w:r>
        <w:rPr>
          <w:iCs/>
          <w:i/>
        </w:rPr>
        <w:t xml:space="preserve">The American Journal of Tropical Medicine and Hygiene</w:t>
      </w:r>
      <w:r>
        <w:t xml:space="preserve">. 1998;58(6):726-730. doi:</w:t>
      </w:r>
      <w:hyperlink r:id="rId115">
        <w:r>
          <w:rPr>
            <w:rStyle w:val="Hyperlink"/>
          </w:rPr>
          <w:t xml:space="preserve">10.4269/ajtmh.1998.58.726</w:t>
        </w:r>
      </w:hyperlink>
    </w:p>
    <w:bookmarkEnd w:id="116"/>
    <w:bookmarkStart w:id="118" w:name="ref-murphy_west_nodate"/>
    <w:p>
      <w:pPr>
        <w:pStyle w:val="Bibliography"/>
      </w:pPr>
      <w:r>
        <w:t xml:space="preserve">42.</w:t>
      </w:r>
      <w:r>
        <w:t xml:space="preserve"> </w:t>
      </w:r>
      <w:r>
        <w:t xml:space="preserve">	</w:t>
      </w:r>
      <w:r>
        <w:t xml:space="preserve">Murphy EL, Wright DJ, Custer BS, et al. West</w:t>
      </w:r>
      <w:r>
        <w:t xml:space="preserve"> </w:t>
      </w:r>
      <w:r>
        <w:t xml:space="preserve">Nile</w:t>
      </w:r>
      <w:r>
        <w:t xml:space="preserve"> </w:t>
      </w:r>
      <w:r>
        <w:t xml:space="preserve">Virus</w:t>
      </w:r>
      <w:r>
        <w:t xml:space="preserve"> </w:t>
      </w:r>
      <w:r>
        <w:t xml:space="preserve">Infections</w:t>
      </w:r>
      <w:r>
        <w:t xml:space="preserve"> </w:t>
      </w:r>
      <w:r>
        <w:t xml:space="preserve">Projected</w:t>
      </w:r>
      <w:r>
        <w:t xml:space="preserve"> </w:t>
      </w:r>
      <w:r>
        <w:t xml:space="preserve">from</w:t>
      </w:r>
      <w:r>
        <w:t xml:space="preserve"> </w:t>
      </w:r>
      <w:r>
        <w:t xml:space="preserve">Blood</w:t>
      </w:r>
      <w:r>
        <w:t xml:space="preserve"> </w:t>
      </w:r>
      <w:r>
        <w:t xml:space="preserve">Donor</w:t>
      </w:r>
      <w:r>
        <w:t xml:space="preserve"> </w:t>
      </w:r>
      <w:r>
        <w:t xml:space="preserve">Screening</w:t>
      </w:r>
      <w:r>
        <w:t xml:space="preserve"> </w:t>
      </w:r>
      <w:r>
        <w:t xml:space="preserve">Data</w:t>
      </w:r>
      <w:r>
        <w:t xml:space="preserve">,</w:t>
      </w:r>
      <w:r>
        <w:t xml:space="preserve"> </w:t>
      </w:r>
      <w:r>
        <w:t xml:space="preserve">United</w:t>
      </w:r>
      <w:r>
        <w:t xml:space="preserve"> </w:t>
      </w:r>
      <w:r>
        <w:t xml:space="preserve">States</w:t>
      </w:r>
      <w:r>
        <w:t xml:space="preserve">, 2003 -</w:t>
      </w:r>
      <w:r>
        <w:t xml:space="preserve"> </w:t>
      </w:r>
      <w:r>
        <w:t xml:space="preserve">Volume</w:t>
      </w:r>
      <w:r>
        <w:t xml:space="preserve"> </w:t>
      </w:r>
      <w:r>
        <w:t xml:space="preserve">12,</w:t>
      </w:r>
      <w:r>
        <w:t xml:space="preserve"> </w:t>
      </w:r>
      <w:r>
        <w:t xml:space="preserve">Number</w:t>
      </w:r>
      <w:r>
        <w:t xml:space="preserve"> </w:t>
      </w:r>
      <w:r>
        <w:t xml:space="preserve">3—</w:t>
      </w:r>
      <w:r>
        <w:t xml:space="preserve">March</w:t>
      </w:r>
      <w:r>
        <w:t xml:space="preserve"> </w:t>
      </w:r>
      <w:r>
        <w:t xml:space="preserve">2006 -</w:t>
      </w:r>
      <w:r>
        <w:t xml:space="preserve"> </w:t>
      </w:r>
      <w:r>
        <w:t xml:space="preserve">Emerging</w:t>
      </w:r>
      <w:r>
        <w:t xml:space="preserve"> </w:t>
      </w:r>
      <w:r>
        <w:t xml:space="preserve">Infectious</w:t>
      </w:r>
      <w:r>
        <w:t xml:space="preserve"> </w:t>
      </w:r>
      <w:r>
        <w:t xml:space="preserve">Diseases</w:t>
      </w:r>
      <w:r>
        <w:t xml:space="preserve"> </w:t>
      </w:r>
      <w:r>
        <w:t xml:space="preserve">journal -</w:t>
      </w:r>
      <w:r>
        <w:t xml:space="preserve"> </w:t>
      </w:r>
      <w:r>
        <w:t xml:space="preserve">CDC</w:t>
      </w:r>
      <w:r>
        <w:t xml:space="preserve">. doi:</w:t>
      </w:r>
      <w:hyperlink r:id="rId117">
        <w:r>
          <w:rPr>
            <w:rStyle w:val="Hyperlink"/>
          </w:rPr>
          <w:t xml:space="preserve">10.3201/eid1203.051287</w:t>
        </w:r>
      </w:hyperlink>
    </w:p>
    <w:bookmarkEnd w:id="118"/>
    <w:bookmarkStart w:id="120" w:name="ref-murphy_evolution_2023"/>
    <w:p>
      <w:pPr>
        <w:pStyle w:val="Bibliography"/>
      </w:pPr>
      <w:r>
        <w:t xml:space="preserve">43.</w:t>
      </w:r>
      <w:r>
        <w:t xml:space="preserve"> </w:t>
      </w:r>
      <w:r>
        <w:t xml:space="preserve">	</w:t>
      </w:r>
      <w:r>
        <w:t xml:space="preserve">Murphy TJ, Swail H, Jain J, et al. The evolution of</w:t>
      </w:r>
      <w:r>
        <w:t xml:space="preserve"> </w:t>
      </w:r>
      <w:r>
        <w:t xml:space="preserve">SARS</w:t>
      </w:r>
      <w:r>
        <w:t xml:space="preserve">-</w:t>
      </w:r>
      <w:r>
        <w:t xml:space="preserve">CoV</w:t>
      </w:r>
      <w:r>
        <w:t xml:space="preserve">-2 seroprevalence in</w:t>
      </w:r>
      <w:r>
        <w:t xml:space="preserve"> </w:t>
      </w:r>
      <w:r>
        <w:t xml:space="preserve">Canada</w:t>
      </w:r>
      <w:r>
        <w:t xml:space="preserve">: A time-series study, 2020–2023.</w:t>
      </w:r>
      <w:r>
        <w:t xml:space="preserve"> </w:t>
      </w:r>
      <w:r>
        <w:rPr>
          <w:iCs/>
          <w:i/>
        </w:rPr>
        <w:t xml:space="preserve">CMAJ</w:t>
      </w:r>
      <w:r>
        <w:t xml:space="preserve">. 2023;195(31):E1030-E1037. doi:</w:t>
      </w:r>
      <w:hyperlink r:id="rId119">
        <w:r>
          <w:rPr>
            <w:rStyle w:val="Hyperlink"/>
          </w:rPr>
          <w:t xml:space="preserve">10.1503/cmaj.230249</w:t>
        </w:r>
      </w:hyperlink>
    </w:p>
    <w:bookmarkEnd w:id="120"/>
    <w:bookmarkStart w:id="122" w:name="ref-sharma_surveillance_2018"/>
    <w:p>
      <w:pPr>
        <w:pStyle w:val="Bibliography"/>
      </w:pPr>
      <w:r>
        <w:t xml:space="preserve">44.</w:t>
      </w:r>
      <w:r>
        <w:t xml:space="preserve"> </w:t>
      </w:r>
      <w:r>
        <w:t xml:space="preserve">	</w:t>
      </w:r>
      <w:r>
        <w:t xml:space="preserve">Sharma R, Costa Santos L, Silva RA da, et al. Surveillance of donated blood during the 2016 arbovirus outbreak in</w:t>
      </w:r>
      <w:r>
        <w:t xml:space="preserve"> </w:t>
      </w:r>
      <w:r>
        <w:t xml:space="preserve">Brazil</w:t>
      </w:r>
      <w:r>
        <w:t xml:space="preserve">.</w:t>
      </w:r>
      <w:r>
        <w:t xml:space="preserve"> </w:t>
      </w:r>
      <w:r>
        <w:rPr>
          <w:iCs/>
          <w:i/>
        </w:rPr>
        <w:t xml:space="preserve">Journal of Medical Virology</w:t>
      </w:r>
      <w:r>
        <w:t xml:space="preserve">. 2018;90(8):1406-1410. doi:</w:t>
      </w:r>
      <w:hyperlink r:id="rId121">
        <w:r>
          <w:rPr>
            <w:rStyle w:val="Hyperlink"/>
          </w:rPr>
          <w:t xml:space="preserve">10.1002/jmv.25193</w:t>
        </w:r>
      </w:hyperlink>
    </w:p>
    <w:bookmarkEnd w:id="122"/>
    <w:bookmarkStart w:id="124" w:name="ref-martinez-beneito_socioeconomic_2023"/>
    <w:p>
      <w:pPr>
        <w:pStyle w:val="Bibliography"/>
      </w:pPr>
      <w:r>
        <w:t xml:space="preserve">45.</w:t>
      </w:r>
      <w:r>
        <w:t xml:space="preserve"> </w:t>
      </w:r>
      <w:r>
        <w:t xml:space="preserve">	</w:t>
      </w:r>
      <w:r>
        <w:t xml:space="preserve">Martinez-Beneito MA, Marí-Dell’Olmo M, Sánchez-Valdivia N, et al. Socioeconomic inequalities in</w:t>
      </w:r>
      <w:r>
        <w:t xml:space="preserve"> </w:t>
      </w:r>
      <w:r>
        <w:t xml:space="preserve">COVID</w:t>
      </w:r>
      <w:r>
        <w:t xml:space="preserve">-19 incidence during the first six waves in</w:t>
      </w:r>
      <w:r>
        <w:t xml:space="preserve"> </w:t>
      </w:r>
      <w:r>
        <w:t xml:space="preserve">Barcelona</w:t>
      </w:r>
      <w:r>
        <w:t xml:space="preserve">.</w:t>
      </w:r>
      <w:r>
        <w:t xml:space="preserve"> </w:t>
      </w:r>
      <w:r>
        <w:rPr>
          <w:iCs/>
          <w:i/>
        </w:rPr>
        <w:t xml:space="preserve">International Journal of Epidemiology</w:t>
      </w:r>
      <w:r>
        <w:t xml:space="preserve">. July 2023:dyad105. doi:</w:t>
      </w:r>
      <w:hyperlink r:id="rId123">
        <w:r>
          <w:rPr>
            <w:rStyle w:val="Hyperlink"/>
          </w:rPr>
          <w:t xml:space="preserve">10.1093/ije/dyad105</w:t>
        </w:r>
      </w:hyperlink>
    </w:p>
    <w:bookmarkEnd w:id="124"/>
    <w:bookmarkStart w:id="126" w:name="ref-sannigrahi_examining_2020"/>
    <w:p>
      <w:pPr>
        <w:pStyle w:val="Bibliography"/>
      </w:pPr>
      <w:r>
        <w:t xml:space="preserve">46.</w:t>
      </w:r>
      <w:r>
        <w:t xml:space="preserve"> </w:t>
      </w:r>
      <w:r>
        <w:t xml:space="preserve">	</w:t>
      </w:r>
      <w:r>
        <w:t xml:space="preserve">Sannigrahi S, Pilla F, Basu B, Basu AS, Molter A. Examining the association between socio-demographic composition and</w:t>
      </w:r>
      <w:r>
        <w:t xml:space="preserve"> </w:t>
      </w:r>
      <w:r>
        <w:t xml:space="preserve">COVID</w:t>
      </w:r>
      <w:r>
        <w:t xml:space="preserve">-19 fatalities in the</w:t>
      </w:r>
      <w:r>
        <w:t xml:space="preserve"> </w:t>
      </w:r>
      <w:r>
        <w:t xml:space="preserve">European</w:t>
      </w:r>
      <w:r>
        <w:t xml:space="preserve"> </w:t>
      </w:r>
      <w:r>
        <w:t xml:space="preserve">region using spatial regression approach.</w:t>
      </w:r>
      <w:r>
        <w:t xml:space="preserve"> </w:t>
      </w:r>
      <w:r>
        <w:rPr>
          <w:iCs/>
          <w:i/>
        </w:rPr>
        <w:t xml:space="preserve">Sustainable Cities and Society</w:t>
      </w:r>
      <w:r>
        <w:t xml:space="preserve">. 2020;62:102418. doi:</w:t>
      </w:r>
      <w:hyperlink r:id="rId125">
        <w:r>
          <w:rPr>
            <w:rStyle w:val="Hyperlink"/>
          </w:rPr>
          <w:t xml:space="preserve">10.1016/j.scs.2020.102418</w:t>
        </w:r>
      </w:hyperlink>
    </w:p>
    <w:bookmarkEnd w:id="126"/>
    <w:bookmarkStart w:id="128" w:name="ref-ingen_neighbourhood-level_2022"/>
    <w:p>
      <w:pPr>
        <w:pStyle w:val="Bibliography"/>
      </w:pPr>
      <w:r>
        <w:t xml:space="preserve">47.</w:t>
      </w:r>
      <w:r>
        <w:t xml:space="preserve"> </w:t>
      </w:r>
      <w:r>
        <w:t xml:space="preserve">	</w:t>
      </w:r>
      <w:r>
        <w:t xml:space="preserve">Ingen T van, Brown KA, Buchan SA, et al. Neighbourhood-level socio-demographic characteristics and risk of</w:t>
      </w:r>
      <w:r>
        <w:t xml:space="preserve"> </w:t>
      </w:r>
      <w:r>
        <w:t xml:space="preserve">COVID</w:t>
      </w:r>
      <w:r>
        <w:t xml:space="preserve">-19 incidence and mortality in</w:t>
      </w:r>
      <w:r>
        <w:t xml:space="preserve"> </w:t>
      </w:r>
      <w:r>
        <w:t xml:space="preserve">Ontario</w:t>
      </w:r>
      <w:r>
        <w:t xml:space="preserve">,</w:t>
      </w:r>
      <w:r>
        <w:t xml:space="preserve"> </w:t>
      </w:r>
      <w:r>
        <w:t xml:space="preserve">Canada</w:t>
      </w:r>
      <w:r>
        <w:t xml:space="preserve">:</w:t>
      </w:r>
      <w:r>
        <w:t xml:space="preserve"> </w:t>
      </w:r>
      <w:r>
        <w:t xml:space="preserve">A</w:t>
      </w:r>
      <w:r>
        <w:t xml:space="preserve"> </w:t>
      </w:r>
      <w:r>
        <w:t xml:space="preserve">population-based study.</w:t>
      </w:r>
      <w:r>
        <w:t xml:space="preserve"> </w:t>
      </w:r>
      <w:r>
        <w:rPr>
          <w:iCs/>
          <w:i/>
        </w:rPr>
        <w:t xml:space="preserve">PLOS ONE</w:t>
      </w:r>
      <w:r>
        <w:t xml:space="preserve">. 2022;17(10):e0276507. doi:</w:t>
      </w:r>
      <w:hyperlink r:id="rId127">
        <w:r>
          <w:rPr>
            <w:rStyle w:val="Hyperlink"/>
          </w:rPr>
          <w:t xml:space="preserve">10.1371/journal.pone.0276507</w:t>
        </w:r>
      </w:hyperlink>
    </w:p>
    <w:bookmarkEnd w:id="128"/>
    <w:bookmarkStart w:id="130" w:name="ref-marine_barjoan_impact_2023"/>
    <w:p>
      <w:pPr>
        <w:pStyle w:val="Bibliography"/>
      </w:pPr>
      <w:r>
        <w:t xml:space="preserve">48.</w:t>
      </w:r>
      <w:r>
        <w:t xml:space="preserve"> </w:t>
      </w:r>
      <w:r>
        <w:t xml:space="preserve">	</w:t>
      </w:r>
      <w:r>
        <w:t xml:space="preserve">Mariné Barjoan E, Chaarana A, Festraëts J, et al. Impact of social and demographic factors on the spread of the</w:t>
      </w:r>
      <w:r>
        <w:t xml:space="preserve"> </w:t>
      </w:r>
      <w:r>
        <w:t xml:space="preserve">SARS</w:t>
      </w:r>
      <w:r>
        <w:t xml:space="preserve">-</w:t>
      </w:r>
      <w:r>
        <w:t xml:space="preserve">CoV</w:t>
      </w:r>
      <w:r>
        <w:t xml:space="preserve">-2 epidemic in the town of</w:t>
      </w:r>
      <w:r>
        <w:t xml:space="preserve"> </w:t>
      </w:r>
      <w:r>
        <w:t xml:space="preserve">Nice</w:t>
      </w:r>
      <w:r>
        <w:t xml:space="preserve">.</w:t>
      </w:r>
      <w:r>
        <w:t xml:space="preserve"> </w:t>
      </w:r>
      <w:r>
        <w:rPr>
          <w:iCs/>
          <w:i/>
        </w:rPr>
        <w:t xml:space="preserve">BMC Public Health</w:t>
      </w:r>
      <w:r>
        <w:t xml:space="preserve">. 2023;23(1):1098. doi:</w:t>
      </w:r>
      <w:hyperlink r:id="rId129">
        <w:r>
          <w:rPr>
            <w:rStyle w:val="Hyperlink"/>
          </w:rPr>
          <w:t xml:space="preserve">10.1186/s12889-023-15917-z</w:t>
        </w:r>
      </w:hyperlink>
    </w:p>
    <w:bookmarkEnd w:id="130"/>
    <w:bookmarkStart w:id="132" w:name="ref-k_associations_2017"/>
    <w:p>
      <w:pPr>
        <w:pStyle w:val="Bibliography"/>
      </w:pPr>
      <w:r>
        <w:t xml:space="preserve">49.</w:t>
      </w:r>
      <w:r>
        <w:t xml:space="preserve"> </w:t>
      </w:r>
      <w:r>
        <w:t xml:space="preserve">	</w:t>
      </w:r>
      <w:r>
        <w:t xml:space="preserve">K van den H, S Z, Fj P, Em M, Wlam de K. Associations of health status with subsequent blood donor behavior-</w:t>
      </w:r>
      <w:r>
        <w:t xml:space="preserve">An</w:t>
      </w:r>
      <w:r>
        <w:t xml:space="preserve"> </w:t>
      </w:r>
      <w:r>
        <w:t xml:space="preserve">alternative perspective on the</w:t>
      </w:r>
      <w:r>
        <w:t xml:space="preserve"> </w:t>
      </w:r>
      <w:r>
        <w:t xml:space="preserve">Healthy</w:t>
      </w:r>
      <w:r>
        <w:t xml:space="preserve"> </w:t>
      </w:r>
      <w:r>
        <w:t xml:space="preserve">Donor</w:t>
      </w:r>
      <w:r>
        <w:t xml:space="preserve"> </w:t>
      </w:r>
      <w:r>
        <w:t xml:space="preserve">Effect</w:t>
      </w:r>
      <w:r>
        <w:t xml:space="preserve"> </w:t>
      </w:r>
      <w:r>
        <w:t xml:space="preserve">from</w:t>
      </w:r>
      <w:r>
        <w:t xml:space="preserve"> </w:t>
      </w:r>
      <w:r>
        <w:t xml:space="preserve">Donor</w:t>
      </w:r>
      <w:r>
        <w:t xml:space="preserve"> </w:t>
      </w:r>
      <w:r>
        <w:t xml:space="preserve">InSight</w:t>
      </w:r>
      <w:r>
        <w:t xml:space="preserve">.</w:t>
      </w:r>
      <w:r>
        <w:t xml:space="preserve"> </w:t>
      </w:r>
      <w:r>
        <w:rPr>
          <w:iCs/>
          <w:i/>
        </w:rPr>
        <w:t xml:space="preserve">PloS one</w:t>
      </w:r>
      <w:r>
        <w:t xml:space="preserve">. 2017;12(10). doi:</w:t>
      </w:r>
      <w:hyperlink r:id="rId131">
        <w:r>
          <w:rPr>
            <w:rStyle w:val="Hyperlink"/>
          </w:rPr>
          <w:t xml:space="preserve">10.1371/journal.pone.0186662</w:t>
        </w:r>
      </w:hyperlink>
    </w:p>
    <w:bookmarkEnd w:id="132"/>
    <w:bookmarkStart w:id="134" w:name="ref-bergeri_global_2022"/>
    <w:p>
      <w:pPr>
        <w:pStyle w:val="Bibliography"/>
      </w:pPr>
      <w:r>
        <w:t xml:space="preserve">50.</w:t>
      </w:r>
      <w:r>
        <w:t xml:space="preserve"> </w:t>
      </w:r>
      <w:r>
        <w:t xml:space="preserve">	</w:t>
      </w:r>
      <w:r>
        <w:t xml:space="preserve">Bergeri I, Whelan MG, Ware H, et al. Global</w:t>
      </w:r>
      <w:r>
        <w:t xml:space="preserve"> </w:t>
      </w:r>
      <w:r>
        <w:t xml:space="preserve">SARS</w:t>
      </w:r>
      <w:r>
        <w:t xml:space="preserve">-</w:t>
      </w:r>
      <w:r>
        <w:t xml:space="preserve">CoV</w:t>
      </w:r>
      <w:r>
        <w:t xml:space="preserve">-2 seroprevalence from</w:t>
      </w:r>
      <w:r>
        <w:t xml:space="preserve"> </w:t>
      </w:r>
      <w:r>
        <w:t xml:space="preserve">January</w:t>
      </w:r>
      <w:r>
        <w:t xml:space="preserve"> </w:t>
      </w:r>
      <w:r>
        <w:t xml:space="preserve">2020 to</w:t>
      </w:r>
      <w:r>
        <w:t xml:space="preserve"> </w:t>
      </w:r>
      <w:r>
        <w:t xml:space="preserve">April</w:t>
      </w:r>
      <w:r>
        <w:t xml:space="preserve"> </w:t>
      </w:r>
      <w:r>
        <w:t xml:space="preserve">2022:</w:t>
      </w:r>
      <w:r>
        <w:t xml:space="preserve"> </w:t>
      </w:r>
      <w:r>
        <w:t xml:space="preserve">A</w:t>
      </w:r>
      <w:r>
        <w:t xml:space="preserve"> </w:t>
      </w:r>
      <w:r>
        <w:t xml:space="preserve">systematic review and meta-analysis of standardized population-based studies.</w:t>
      </w:r>
      <w:r>
        <w:t xml:space="preserve"> </w:t>
      </w:r>
      <w:r>
        <w:rPr>
          <w:iCs/>
          <w:i/>
        </w:rPr>
        <w:t xml:space="preserve">PLOS Medicine</w:t>
      </w:r>
      <w:r>
        <w:t xml:space="preserve">. 2022;19(11):e1004107. doi:</w:t>
      </w:r>
      <w:hyperlink r:id="rId133">
        <w:r>
          <w:rPr>
            <w:rStyle w:val="Hyperlink"/>
          </w:rPr>
          <w:t xml:space="preserve">10.1371/journal.pmed.1004107</w:t>
        </w:r>
      </w:hyperlink>
    </w:p>
    <w:bookmarkEnd w:id="134"/>
    <w:bookmarkStart w:id="136" w:name="ref-chen_serological_2021"/>
    <w:p>
      <w:pPr>
        <w:pStyle w:val="Bibliography"/>
      </w:pPr>
      <w:r>
        <w:t xml:space="preserve">51.</w:t>
      </w:r>
      <w:r>
        <w:t xml:space="preserve"> </w:t>
      </w:r>
      <w:r>
        <w:t xml:space="preserve">	</w:t>
      </w:r>
      <w:r>
        <w:t xml:space="preserve">Chen X, Chen Z, Azman AS, et al. Serological evidence of human infection with</w:t>
      </w:r>
      <w:r>
        <w:t xml:space="preserve"> </w:t>
      </w:r>
      <w:r>
        <w:t xml:space="preserve">SARS</w:t>
      </w:r>
      <w:r>
        <w:t xml:space="preserve">-</w:t>
      </w:r>
      <w:r>
        <w:t xml:space="preserve">CoV</w:t>
      </w:r>
      <w:r>
        <w:t xml:space="preserve">-2: A systematic review and meta-analysis.</w:t>
      </w:r>
      <w:r>
        <w:t xml:space="preserve"> </w:t>
      </w:r>
      <w:r>
        <w:rPr>
          <w:iCs/>
          <w:i/>
        </w:rPr>
        <w:t xml:space="preserve">The Lancet Global Health</w:t>
      </w:r>
      <w:r>
        <w:t xml:space="preserve">. 2021;9(5):e598-e609. doi:</w:t>
      </w:r>
      <w:hyperlink r:id="rId135">
        <w:r>
          <w:rPr>
            <w:rStyle w:val="Hyperlink"/>
          </w:rPr>
          <w:t xml:space="preserve">10.1016/S2214-109X(21)00026-7</w:t>
        </w:r>
      </w:hyperlink>
    </w:p>
    <w:bookmarkEnd w:id="136"/>
    <w:bookmarkStart w:id="138" w:name="ref-government_of_canada_population_2018"/>
    <w:p>
      <w:pPr>
        <w:pStyle w:val="Bibliography"/>
      </w:pPr>
      <w:r>
        <w:t xml:space="preserve">52.</w:t>
      </w:r>
      <w:r>
        <w:t xml:space="preserve"> </w:t>
      </w:r>
      <w:r>
        <w:t xml:space="preserve">	</w:t>
      </w:r>
      <w:r>
        <w:t xml:space="preserve">Government of Canada SC. Population estimates on</w:t>
      </w:r>
      <w:r>
        <w:t xml:space="preserve"> </w:t>
      </w:r>
      <w:r>
        <w:t xml:space="preserve">July</w:t>
      </w:r>
      <w:r>
        <w:t xml:space="preserve"> </w:t>
      </w:r>
      <w:r>
        <w:t xml:space="preserve">1st, by age and sex. June 2018.</w:t>
      </w:r>
      <w:r>
        <w:t xml:space="preserve"> </w:t>
      </w:r>
      <w:hyperlink r:id="rId137">
        <w:r>
          <w:rPr>
            <w:rStyle w:val="Hyperlink"/>
          </w:rPr>
          <w:t xml:space="preserve">https://www150.statcan.gc.ca/t1/tbl1/en/tv.action?pid=1710000501</w:t>
        </w:r>
      </w:hyperlink>
      <w:r>
        <w:t xml:space="preserve">. Accessed December 7, 2023.</w:t>
      </w:r>
    </w:p>
    <w:bookmarkEnd w:id="138"/>
    <w:bookmarkEnd w:id="139"/>
    <w:bookmarkStart w:id="140" w:name="section-4"/>
    <w:p>
      <w:pPr>
        <w:pStyle w:val="Heading5"/>
      </w:pPr>
    </w:p>
    <w:bookmarkEnd w:id="140"/>
    <w:bookmarkEnd w:id="141"/>
    <w:bookmarkStart w:id="143" w:name="tables"/>
    <w:p>
      <w:pPr>
        <w:pStyle w:val="Heading1"/>
      </w:pPr>
      <w:r>
        <w:t xml:space="preserve">Tables</w:t>
      </w:r>
    </w:p>
    <w:bookmarkStart w:id="142" w:name="waic-by-model-type-region-and-wave"/>
    <w:p>
      <w:pPr>
        <w:pStyle w:val="Heading2"/>
      </w:pPr>
      <w:r>
        <w:t xml:space="preserve">WAIC by model type, region and wave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bookmarkStart w:id="048f51de-72bc-4cef-a479-997d444e2d85" w:name="t-tripod"/>
      <w:r>
        <w:rPr>
          <w:rFonts w:ascii="Arial" w:hAnsi="Arial" w:eastAsia="Arial" w:cs="Arial"/>
          <w:i w:val="false"/>
          <w:b w:val="true"/>
          <w:u w:val="single"/>
          <w:sz w:val="20"/>
          <w:szCs w:val="20"/>
          <w:color w:val="000000"/>
        </w:rPr>
        <w:t xml:space="preserve">Table </w:t>
      </w:r>
      <w:r>
        <w:rPr>
          <w:rFonts w:ascii="Arial" w:hAnsi="Arial" w:eastAsia="Arial" w:cs="Arial"/>
          <w:i w:val="false"/>
          <w:b w:val="true"/>
          <w:u w:val="single"/>
          <w:sz w:val="20"/>
          <w:szCs w:val="20"/>
          <w:color w:val="000000"/>
        </w:rPr>
        <w:fldChar w:fldCharType="begin" w:dirty="true"/>
      </w:r>
      <w:r>
        <w:rPr>
          <w:rFonts w:ascii="Arial" w:hAnsi="Arial" w:eastAsia="Arial" w:cs="Arial"/>
          <w:i w:val="false"/>
          <w:b w:val="true"/>
          <w:u w:val="single"/>
          <w:sz w:val="20"/>
          <w:szCs w:val="20"/>
          <w:color w:val="000000"/>
        </w:rPr>
        <w:instrText xml:space="preserve" w:dirty="true">SEQ stab \* Arabic</w:instrText>
      </w:r>
      <w:r>
        <w:rPr>
          <w:rFonts w:ascii="Arial" w:hAnsi="Arial" w:eastAsia="Arial" w:cs="Arial"/>
          <w:i w:val="false"/>
          <w:b w:val="true"/>
          <w:u w:val="single"/>
          <w:sz w:val="20"/>
          <w:szCs w:val="20"/>
          <w:color w:val="000000"/>
        </w:rPr>
        <w:fldChar w:fldCharType="end" w:dirty="true"/>
      </w:r>
      <w:bookmarkEnd w:id="048f51de-72bc-4cef-a479-997d444e2d85"/>
      <w:r>
        <w:rPr>
          <w:rFonts w:ascii="Arial" w:hAnsi="Arial" w:eastAsia="Arial" w:cs="Arial"/>
          <w:i w:val="false"/>
          <w:b w:val="true"/>
          <w:u w:val="single"/>
          <w:sz w:val="20"/>
          <w:szCs w:val="20"/>
          <w:color w:val="000000"/>
        </w:rPr>
        <w:t xml:space="preserve">: </w:t>
      </w:r>
      <w:r>
        <w:t xml:space="preserve">Waic score from different models per region/wave.</w:t>
      </w:r>
    </w:p>
    <w:tbl xmlns:w14="http://schemas.microsoft.com/office/word/2010/wordml">
      <w:tblPr>
        <w:tblLayout w:type="fixed"/>
        <w:jc w:val="center"/>
        <w:tblLook w:firstRow="1" w:lastRow="0" w:firstColumn="0" w:lastColumn="0" w:noHBand="0" w:noVBand="1"/>
      </w:tblPr>
      <w:tblGrid>
        <w:gridCol w:w="2160"/>
        <w:gridCol w:w="2160"/>
        <w:gridCol w:w="2160"/>
        <w:gridCol w:w="2160"/>
      </w:tblGrid>
      <w:tr>
        <w:trPr>
          <w:trHeight w:val="360" w:hRule="auto"/>
          <w:tblHeader/>
        </w:trPr>
        header 1
        <w:tc>
          <w:tcPr>
            <w:tcBorders>
              <w:bottom w:val="single" w:sz="6" w:space="0" w:color="666666"/>
              <w:top w:val="single" w:sz="6" w:space="0" w:color="666666"/>
              <w:left w:val="single" w:sz="6" w:space="0" w:color="666666"/>
              <w:right w:val="single" w:sz="6" w:space="0" w:color="666666"/>
            </w:tcBorders>
            <w:shd w:val="clear" w:color="auto" w:fill="EAEAE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Region.Wave</w:t>
            </w:r>
          </w:p>
        </w:tc>
        <w:tc>
          <w:tcPr>
            <w:tcBorders>
              <w:bottom w:val="single" w:sz="6" w:space="0" w:color="666666"/>
              <w:top w:val="single" w:sz="6" w:space="0" w:color="666666"/>
              <w:left w:val="single" w:sz="6" w:space="0" w:color="666666"/>
              <w:right w:val="single" w:sz="6" w:space="0" w:color="666666"/>
            </w:tcBorders>
            <w:shd w:val="clear" w:color="auto" w:fill="EAEAEA"/>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GLM</w:t>
            </w:r>
          </w:p>
        </w:tc>
        <w:tc>
          <w:tcPr>
            <w:tcBorders>
              <w:bottom w:val="single" w:sz="6" w:space="0" w:color="666666"/>
              <w:top w:val="single" w:sz="6" w:space="0" w:color="666666"/>
              <w:left w:val="single" w:sz="6" w:space="0" w:color="666666"/>
              <w:right w:val="single" w:sz="6" w:space="0" w:color="666666"/>
            </w:tcBorders>
            <w:shd w:val="clear" w:color="auto" w:fill="EAEAEA"/>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GLM.w.nonspatial</w:t>
            </w:r>
          </w:p>
        </w:tc>
        <w:tc>
          <w:tcPr>
            <w:tcBorders>
              <w:bottom w:val="single" w:sz="6" w:space="0" w:color="666666"/>
              <w:top w:val="single" w:sz="6" w:space="0" w:color="666666"/>
              <w:left w:val="single" w:sz="6" w:space="0" w:color="666666"/>
              <w:right w:val="single" w:sz="6" w:space="0" w:color="666666"/>
            </w:tcBorders>
            <w:shd w:val="clear" w:color="auto" w:fill="EAEAEA"/>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true"/>
                <w:u w:val="none"/>
                <w:sz w:val="16"/>
                <w:szCs w:val="16"/>
                <w:color w:val="000000"/>
              </w:rPr>
              <w:t xml:space="preserve">GLM.w.spatial</w:t>
            </w:r>
          </w:p>
        </w:tc>
      </w:tr>
      <w:tr>
        <w:trPr>
          <w:trHeight w:val="360" w:hRule="auto"/>
        </w:trPr>
        body 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Ontario-PreDelta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10,953.04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10,792.09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10,778.91</w:t>
            </w:r>
          </w:p>
        </w:tc>
      </w:tr>
      <w:tr>
        <w:trPr>
          <w:trHeight w:val="360" w:hRule="auto"/>
        </w:trPr>
        body 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Ontario-Delta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3,262.97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3,212.39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3,211.86</w:t>
            </w:r>
          </w:p>
        </w:tc>
      </w:tr>
      <w:tr>
        <w:trPr>
          <w:trHeight w:val="360" w:hRule="auto"/>
        </w:trPr>
        body 3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Ontario-Omicron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161,243.10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160,681.99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160,674.40</w:t>
            </w:r>
          </w:p>
        </w:tc>
      </w:tr>
      <w:tr>
        <w:trPr>
          <w:trHeight w:val="360" w:hRule="auto"/>
        </w:trPr>
        body 4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BC-PreDelta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3,539.64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3,494.69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3,493.32</w:t>
            </w:r>
          </w:p>
        </w:tc>
      </w:tr>
      <w:tr>
        <w:trPr>
          <w:trHeight w:val="360" w:hRule="auto"/>
        </w:trPr>
        body 5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BC-Delta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1,816.50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1,787.33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1,787.34</w:t>
            </w:r>
          </w:p>
        </w:tc>
      </w:tr>
      <w:tr>
        <w:trPr>
          <w:trHeight w:val="360" w:hRule="auto"/>
        </w:trPr>
        body 6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BC-Omicron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56,952.86</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56,580.27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56,578.95</w:t>
            </w:r>
          </w:p>
        </w:tc>
      </w:tr>
      <w:tr>
        <w:trPr>
          <w:trHeight w:val="360" w:hRule="auto"/>
        </w:trPr>
        body 7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Prairies-PreDelta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9,967.58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9,885.03</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9,881.98</w:t>
            </w:r>
          </w:p>
        </w:tc>
      </w:tr>
      <w:tr>
        <w:trPr>
          <w:trHeight w:val="360" w:hRule="auto"/>
        </w:trPr>
        body 8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Prairies-Delta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5,432.21</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5,357.38</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5,354.64</w:t>
            </w:r>
          </w:p>
        </w:tc>
      </w:tr>
      <w:tr>
        <w:trPr>
          <w:trHeight w:val="360" w:hRule="auto"/>
        </w:trPr>
        body 9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Prairies-Omicron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99,922.69</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99,358.87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99,351.41</w:t>
            </w:r>
          </w:p>
        </w:tc>
      </w:tr>
      <w:tr>
        <w:trPr>
          <w:trHeight w:val="360" w:hRule="auto"/>
        </w:trPr>
        body10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Atlantic-PreDelta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501.87</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500.22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500.19</w:t>
            </w:r>
          </w:p>
        </w:tc>
      </w:tr>
      <w:tr>
        <w:trPr>
          <w:trHeight w:val="360" w:hRule="auto"/>
        </w:trPr>
        body11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Atlantic-Delta</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354.82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356.90</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356.11</w:t>
            </w:r>
          </w:p>
        </w:tc>
      </w:tr>
      <w:tr>
        <w:trPr>
          <w:trHeight w:val="360" w:hRule="auto"/>
        </w:trPr>
        body12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Atlantic-Omicron</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31,353.12</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31,233.64</w:t>
            </w:r>
          </w:p>
        </w:tc>
        <w:tc>
          <w:tcPr>
            <w:tcBorders>
              <w:bottom w:val="single" w:sz="6" w:space="0" w:color="666666"/>
              <w:top w:val="single" w:sz="6" w:space="0" w:color="666666"/>
              <w:left w:val="single" w:sz="6" w:space="0" w:color="666666"/>
              <w:right w:val="single" w:sz="6"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DejaVu Sans" w:hAnsi="DejaVu Sans" w:eastAsia="DejaVu Sans" w:cs="DejaVu Sans"/>
                <w:i w:val="false"/>
                <w:b w:val="false"/>
                <w:u w:val="none"/>
                <w:sz w:val="16"/>
                <w:szCs w:val="16"/>
                <w:color w:val="000000"/>
              </w:rPr>
              <w:t xml:space="preserve">31,223.49</w:t>
            </w:r>
          </w:p>
        </w:tc>
      </w:tr>
    </w:tbl>
    <w:p>
      <w:pPr>
        <w:sectPr w:officer="true">
          <w:type w:val="continuous"/>
          <w:cols/>
          <w:pgSz w:h="15840" w:w="12240"/>
          <w:pgMar w:bottom="1440" w:footer="720" w:gutter="0" w:header="720" w:left="1440" w:right="1440" w:top="1440"/>
        </w:sectPr>
      </w:pPr>
    </w:p>
    <w:bookmarkEnd w:id="142"/>
    <w:bookmarkEnd w:id="143"/>
    <w:bookmarkStart w:id="147" w:name="figures"/>
    <w:p>
      <w:pPr>
        <w:pStyle w:val="Heading1"/>
      </w:pPr>
      <w:r>
        <w:t xml:space="preserve">Figures</w:t>
      </w:r>
    </w:p>
    <w:bookmarkStart w:id="144" w:name="Xb6d855c3c179ba85a7d137eb372335798d41d7e"/>
    <w:p>
      <w:pPr>
        <w:pStyle w:val="Heading2"/>
      </w:pPr>
      <w:r>
        <w:t xml:space="preserve">Coefficients for individual and neighborhood covariates by COVID-19 wave and region</w:t>
      </w:r>
    </w:p>
    <w:p>
      <w:pPr>
        <w:jc w:val="center"/>
        <w:pStyle w:val="Figure"/>
      </w:pPr>
      <w:r>
        <w:rPr/>
        <w:drawing>
          <wp:inline distT="0" distB="0" distL="0" distR="0">
            <wp:extent cx="73152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138"/>
                    <a:stretch>
                      <a:fillRect/>
                    </a:stretch>
                  </pic:blipFill>
                  <pic:spPr bwMode="auto">
                    <a:xfrm>
                      <a:off x="0" y="0"/>
                      <a:ext cx="101600" cy="50800"/>
                    </a:xfrm>
                    <a:prstGeom prst="rect">
                      <a:avLst/>
                    </a:prstGeom>
                    <a:noFill/>
                  </pic:spPr>
                </pic:pic>
              </a:graphicData>
            </a:graphic>
          </wp:inline>
        </w:drawing>
      </w:r>
    </w:p>
    <w:p>
      <w:pPr>
        <w:pStyle w:stlname="Image Caption" w:val="ImageCaption"/>
      </w:pPr>
      <w:bookmarkStart w:id="4eeb4fee-cf1a-4e99-8379-ab10b4414757" w:name="f-sample"/>
      <w:r>
        <w:rPr>
          <w:rFonts w:ascii="Arial" w:hAnsi="Arial" w:eastAsia="Arial" w:cs="Arial"/>
          <w:i w:val="false"/>
          <w:b w:val="true"/>
          <w:u w:val="single"/>
          <w:sz w:val="20"/>
          <w:szCs w:val="20"/>
          <w:color w:val="000000"/>
        </w:rPr>
        <w:t xml:space="preserve">Figure </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 \* Arabic</w:instrText>
      </w:r>
      <w:r xmlns:w14="http://schemas.microsoft.com/office/word/2010/wordml">
        <w:rPr>
          <w:rFonts w:ascii="Arial" w:hAnsi="Arial" w:eastAsia="Arial" w:cs="Arial"/>
          <w:i w:val="false"/>
          <w:b w:val="true"/>
          <w:u w:val="single"/>
          <w:sz w:val="20"/>
          <w:szCs w:val="20"/>
          <w:color w:val="000000"/>
        </w:rPr>
        <w:fldChar w:fldCharType="end" w:dirty="true"/>
      </w:r>
      <w:bookmarkEnd w:id="4eeb4fee-cf1a-4e99-8379-ab10b4414757"/>
      <w:r>
        <w:rPr>
          <w:rFonts w:ascii="Arial" w:hAnsi="Arial" w:eastAsia="Arial" w:cs="Arial"/>
          <w:i w:val="false"/>
          <w:b w:val="true"/>
          <w:u w:val="single"/>
          <w:sz w:val="20"/>
          <w:szCs w:val="20"/>
          <w:color w:val="000000"/>
        </w:rPr>
        <w:t xml:space="preserve">: </w:t>
      </w:r>
      <w:r>
        <w:t xml:space="preserve">Coefficient estimate of areal and individual level covariates through different models across three waves.</w:t>
      </w:r>
    </w:p>
    <w:p>
      <w:pPr>
        <w:sectPr w:officer="true">
          <w:pgSz w:h="11906" w:w="16838" w:orient="landscape"/>
          <w:type w:val="oddPage"/>
          <w:cols/>
          <w:pgMar w:bottom="1440" w:footer="720" w:gutter="0" w:header="720" w:left="1440" w:right="1440" w:top="1440"/>
        </w:sectPr>
      </w:pPr>
    </w:p>
    <w:bookmarkEnd w:id="144"/>
    <w:bookmarkStart w:id="146" w:name="Xdddfdc242a3f2909f8474a77152014b67b5524c"/>
    <w:p>
      <w:pPr>
        <w:pStyle w:val="Heading2"/>
      </w:pPr>
      <w:r>
        <w:t xml:space="preserve">Posterior predicted seropositivity vs. observed seropositivity by census division: Multilevel model with spatial effects</w:t>
      </w:r>
    </w:p>
    <w:p>
      <w:pPr>
        <w:jc w:val="center"/>
        <w:pStyle w:val="Figure"/>
      </w:pPr>
      <w:r>
        <w:rPr/>
        <w:drawing>
          <wp:inline distT="0" distB="0" distL="0" distR="0">
            <wp:extent cx="5943600" cy="4572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139"/>
                    <a:stretch>
                      <a:fillRect/>
                    </a:stretch>
                  </pic:blipFill>
                  <pic:spPr bwMode="auto">
                    <a:xfrm>
                      <a:off x="0" y="0"/>
                      <a:ext cx="82550" cy="63500"/>
                    </a:xfrm>
                    <a:prstGeom prst="rect">
                      <a:avLst/>
                    </a:prstGeom>
                    <a:noFill/>
                  </pic:spPr>
                </pic:pic>
              </a:graphicData>
            </a:graphic>
          </wp:inline>
        </w:drawing>
      </w:r>
    </w:p>
    <w:p>
      <w:pPr>
        <w:pStyle w:stlname="Image Caption" w:val="ImageCaption"/>
      </w:pPr>
      <w:bookmarkStart w:id="8986b5e8-75e3-4d0f-b173-13e5075e282c" w:name="f-sample"/>
      <w:r>
        <w:rPr>
          <w:rFonts w:ascii="Arial" w:hAnsi="Arial" w:eastAsia="Arial" w:cs="Arial"/>
          <w:i w:val="false"/>
          <w:b w:val="true"/>
          <w:u w:val="single"/>
          <w:sz w:val="20"/>
          <w:szCs w:val="20"/>
          <w:color w:val="000000"/>
        </w:rPr>
        <w:t xml:space="preserve">Figure </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 \* Arabic</w:instrText>
      </w:r>
      <w:r xmlns:w14="http://schemas.microsoft.com/office/word/2010/wordml">
        <w:rPr>
          <w:rFonts w:ascii="Arial" w:hAnsi="Arial" w:eastAsia="Arial" w:cs="Arial"/>
          <w:i w:val="false"/>
          <w:b w:val="true"/>
          <w:u w:val="single"/>
          <w:sz w:val="20"/>
          <w:szCs w:val="20"/>
          <w:color w:val="000000"/>
        </w:rPr>
        <w:fldChar w:fldCharType="end" w:dirty="true"/>
      </w:r>
      <w:bookmarkEnd w:id="8986b5e8-75e3-4d0f-b173-13e5075e282c"/>
      <w:r>
        <w:rPr>
          <w:rFonts w:ascii="Arial" w:hAnsi="Arial" w:eastAsia="Arial" w:cs="Arial"/>
          <w:i w:val="false"/>
          <w:b w:val="true"/>
          <w:u w:val="single"/>
          <w:sz w:val="20"/>
          <w:szCs w:val="20"/>
          <w:color w:val="000000"/>
        </w:rPr>
        <w:t xml:space="preserve">: </w:t>
      </w:r>
      <w:r>
        <w:t xml:space="preserve">Seropositivity estimation of Ontario and British Columbia, Prairies and Atlantic during Omicron period through model with/without spatial random effect.</w:t>
      </w:r>
    </w:p>
    <w:bookmarkStart w:id="145" w:name="section-5"/>
    <w:p>
      <w:pPr>
        <w:pStyle w:val="Heading5"/>
      </w:pPr>
    </w:p>
    <w:bookmarkEnd w:id="145"/>
    <w:bookmarkEnd w:id="146"/>
    <w:bookmarkEnd w:id="147"/>
    <w:bookmarkStart w:id="148" w:name="supplemental-materials"/>
    <w:p>
      <w:pPr>
        <w:pStyle w:val="Heading1"/>
      </w:pPr>
      <w:r>
        <w:t xml:space="preserve">Supplemental materials</w:t>
      </w:r>
    </w:p>
    <w:p>
      <w:pPr>
        <w:pStyle w:val="Normal"/>
      </w:pPr>
    </w:p>
    <w:bookmarkEnd w:id="148"/>
    <w:bookmarkStart w:id="149" w:name="a.-supplement-section"/>
    <w:p>
      <w:pPr>
        <w:pStyle w:val="Heading1"/>
      </w:pPr>
      <w:r>
        <w:t xml:space="preserve">A. Supplement section</w:t>
      </w:r>
    </w:p>
    <w:bookmarkEnd w:id="149"/>
    <w:bookmarkStart w:id="153" w:name="supplemental-tables"/>
    <w:p>
      <w:pPr>
        <w:pStyle w:val="Heading1"/>
      </w:pPr>
      <w:r>
        <w:t xml:space="preserve">Supplemental tables</w:t>
      </w:r>
    </w:p>
    <w:bookmarkStart w:id="150" w:name="tab:b"/>
    <w:p>
      <w:pPr>
        <w:pStyle w:val="TableCaption"/>
      </w:pPr>
      <w:r>
        <w:t xml:space="preserve">TableOne Summary</w:t>
      </w:r>
    </w:p>
    <w:tbl>
      <w:tblPr>
        <w:tblStyle w:val="Table"/>
        <w:tblW w:type="auto" w:w="0"/>
        <w:tblLook w:firstRow="1" w:lastRow="0" w:firstColumn="0" w:lastColumn="0" w:noHBand="0" w:noVBand="0" w:val="0020"/>
        <w:tblCaption w:val="TableOne Summary"/>
      </w:tblPr>
      <w:tblGrid>
        <w:gridCol w:w="792"/>
        <w:gridCol w:w="792"/>
        <w:gridCol w:w="792"/>
        <w:gridCol w:w="792"/>
        <w:gridCol w:w="792"/>
        <w:gridCol w:w="792"/>
        <w:gridCol w:w="792"/>
        <w:gridCol w:w="792"/>
        <w:gridCol w:w="792"/>
        <w:gridCol w:w="792"/>
      </w:tblGrid>
      <w:tr>
        <w:trPr>
          <w:tblHeader w:val="true"/>
        </w:trPr>
        <w:tc>
          <w:tcPr/>
          <w:p>
            <w:pPr>
              <w:pStyle w:val="Compact"/>
              <w:jc w:val="right"/>
            </w:pPr>
            <w:r>
              <w:t xml:space="preserve">X.1</w:t>
            </w:r>
          </w:p>
        </w:tc>
        <w:tc>
          <w:tcPr/>
          <w:p>
            <w:pPr>
              <w:pStyle w:val="Compact"/>
              <w:jc w:val="left"/>
            </w:pPr>
            <w:r>
              <w:t xml:space="preserve">X</w:t>
            </w:r>
          </w:p>
        </w:tc>
        <w:tc>
          <w:tcPr/>
          <w:p>
            <w:pPr>
              <w:pStyle w:val="Compact"/>
              <w:jc w:val="left"/>
            </w:pPr>
            <w:r>
              <w:t xml:space="preserve">level</w:t>
            </w:r>
          </w:p>
        </w:tc>
        <w:tc>
          <w:tcPr/>
          <w:p>
            <w:pPr>
              <w:pStyle w:val="Compact"/>
              <w:jc w:val="left"/>
            </w:pPr>
            <w:r>
              <w:t xml:space="preserve">Overall</w:t>
            </w:r>
          </w:p>
        </w:tc>
        <w:tc>
          <w:tcPr/>
          <w:p>
            <w:pPr>
              <w:pStyle w:val="Compact"/>
              <w:jc w:val="left"/>
            </w:pPr>
            <w:r>
              <w:t xml:space="preserve">Atlantic</w:t>
            </w:r>
          </w:p>
        </w:tc>
        <w:tc>
          <w:tcPr/>
          <w:p>
            <w:pPr>
              <w:pStyle w:val="Compact"/>
              <w:jc w:val="left"/>
            </w:pPr>
            <w:r>
              <w:t xml:space="preserve">BC</w:t>
            </w:r>
          </w:p>
        </w:tc>
        <w:tc>
          <w:tcPr/>
          <w:p>
            <w:pPr>
              <w:pStyle w:val="Compact"/>
              <w:jc w:val="left"/>
            </w:pPr>
            <w:r>
              <w:t xml:space="preserve">Ontario</w:t>
            </w:r>
          </w:p>
        </w:tc>
        <w:tc>
          <w:tcPr/>
          <w:p>
            <w:pPr>
              <w:pStyle w:val="Compact"/>
              <w:jc w:val="left"/>
            </w:pPr>
            <w:r>
              <w:t xml:space="preserve">Prairies</w:t>
            </w:r>
          </w:p>
        </w:tc>
        <w:tc>
          <w:tcPr/>
          <w:p>
            <w:pPr>
              <w:pStyle w:val="Compact"/>
              <w:jc w:val="left"/>
            </w:pPr>
            <w:r>
              <w:t xml:space="preserve">p</w:t>
            </w:r>
          </w:p>
        </w:tc>
        <w:tc>
          <w:tcPr/>
          <w:p>
            <w:pPr>
              <w:pStyle w:val="Compact"/>
              <w:jc w:val="left"/>
            </w:pPr>
            <w:r>
              <w:t xml:space="preserve">test</w:t>
            </w:r>
          </w:p>
        </w:tc>
      </w:tr>
      <w:tr>
        <w:tc>
          <w:tcPr/>
          <w:p>
            <w:pPr>
              <w:pStyle w:val="Compact"/>
              <w:jc w:val="right"/>
            </w:pPr>
            <w:r>
              <w:t xml:space="preserve">1</w:t>
            </w:r>
          </w:p>
        </w:tc>
        <w:tc>
          <w:tcPr/>
          <w:p>
            <w:pPr>
              <w:pStyle w:val="Compact"/>
              <w:jc w:val="left"/>
            </w:pPr>
            <w:r>
              <w:t xml:space="preserve">n</w:t>
            </w:r>
          </w:p>
        </w:tc>
        <w:tc>
          <w:tcPr/>
          <w:p>
            <w:pPr>
              <w:pStyle w:val="Compact"/>
            </w:pPr>
          </w:p>
        </w:tc>
        <w:tc>
          <w:tcPr/>
          <w:p>
            <w:pPr>
              <w:pStyle w:val="Compact"/>
              <w:jc w:val="left"/>
            </w:pPr>
            <w:r>
              <w:t xml:space="preserve">89710</w:t>
            </w:r>
          </w:p>
        </w:tc>
        <w:tc>
          <w:tcPr/>
          <w:p>
            <w:pPr>
              <w:pStyle w:val="Compact"/>
              <w:jc w:val="left"/>
            </w:pPr>
            <w:r>
              <w:t xml:space="preserve">10269</w:t>
            </w:r>
          </w:p>
        </w:tc>
        <w:tc>
          <w:tcPr/>
          <w:p>
            <w:pPr>
              <w:pStyle w:val="Compact"/>
              <w:jc w:val="left"/>
            </w:pPr>
            <w:r>
              <w:t xml:space="preserve">14068</w:t>
            </w:r>
          </w:p>
        </w:tc>
        <w:tc>
          <w:tcPr/>
          <w:p>
            <w:pPr>
              <w:pStyle w:val="Compact"/>
              <w:jc w:val="left"/>
            </w:pPr>
            <w:r>
              <w:t xml:space="preserve">39069</w:t>
            </w:r>
          </w:p>
        </w:tc>
        <w:tc>
          <w:tcPr/>
          <w:p>
            <w:pPr>
              <w:pStyle w:val="Compact"/>
              <w:jc w:val="left"/>
            </w:pPr>
            <w:r>
              <w:t xml:space="preserve">26304</w:t>
            </w:r>
          </w:p>
        </w:tc>
        <w:tc>
          <w:tcPr/>
          <w:p>
            <w:pPr>
              <w:pStyle w:val="Compact"/>
            </w:pPr>
          </w:p>
        </w:tc>
        <w:tc>
          <w:tcPr/>
          <w:p>
            <w:pPr>
              <w:pStyle w:val="Compact"/>
              <w:jc w:val="left"/>
            </w:pPr>
            <w:r>
              <w:t xml:space="preserve">NA</w:t>
            </w:r>
          </w:p>
        </w:tc>
      </w:tr>
      <w:tr>
        <w:tc>
          <w:tcPr/>
          <w:p>
            <w:pPr>
              <w:pStyle w:val="Compact"/>
              <w:jc w:val="right"/>
            </w:pPr>
            <w:r>
              <w:t xml:space="preserve">2</w:t>
            </w:r>
          </w:p>
        </w:tc>
        <w:tc>
          <w:tcPr/>
          <w:p>
            <w:pPr>
              <w:pStyle w:val="Compact"/>
              <w:jc w:val="left"/>
            </w:pPr>
            <w:r>
              <w:t xml:space="preserve">sex....</w:t>
            </w:r>
          </w:p>
        </w:tc>
        <w:tc>
          <w:tcPr/>
          <w:p>
            <w:pPr>
              <w:pStyle w:val="Compact"/>
              <w:jc w:val="left"/>
            </w:pPr>
            <w:r>
              <w:t xml:space="preserve">Female</w:t>
            </w:r>
          </w:p>
        </w:tc>
        <w:tc>
          <w:tcPr/>
          <w:p>
            <w:pPr>
              <w:pStyle w:val="Compact"/>
              <w:jc w:val="left"/>
            </w:pPr>
            <w:r>
              <w:t xml:space="preserve">38916 (43.4)</w:t>
            </w:r>
          </w:p>
        </w:tc>
        <w:tc>
          <w:tcPr/>
          <w:p>
            <w:pPr>
              <w:pStyle w:val="Compact"/>
              <w:jc w:val="left"/>
            </w:pPr>
            <w:r>
              <w:t xml:space="preserve">4470 (43.5)</w:t>
            </w:r>
          </w:p>
        </w:tc>
        <w:tc>
          <w:tcPr/>
          <w:p>
            <w:pPr>
              <w:pStyle w:val="Compact"/>
              <w:jc w:val="left"/>
            </w:pPr>
            <w:r>
              <w:t xml:space="preserve">6130 (43.6)</w:t>
            </w:r>
          </w:p>
        </w:tc>
        <w:tc>
          <w:tcPr/>
          <w:p>
            <w:pPr>
              <w:pStyle w:val="Compact"/>
              <w:jc w:val="left"/>
            </w:pPr>
            <w:r>
              <w:t xml:space="preserve">17154 (43.9)</w:t>
            </w:r>
          </w:p>
        </w:tc>
        <w:tc>
          <w:tcPr/>
          <w:p>
            <w:pPr>
              <w:pStyle w:val="Compact"/>
              <w:jc w:val="left"/>
            </w:pPr>
            <w:r>
              <w:t xml:space="preserve">11162 (42.4)</w:t>
            </w:r>
          </w:p>
        </w:tc>
        <w:tc>
          <w:tcPr/>
          <w:p>
            <w:pPr>
              <w:pStyle w:val="Compact"/>
              <w:jc w:val="left"/>
            </w:pPr>
            <w:r>
              <w:t xml:space="preserve">0.003</w:t>
            </w:r>
          </w:p>
        </w:tc>
        <w:tc>
          <w:tcPr/>
          <w:p>
            <w:pPr>
              <w:pStyle w:val="Compact"/>
              <w:jc w:val="left"/>
            </w:pPr>
            <w:r>
              <w:t xml:space="preserve">NA</w:t>
            </w:r>
          </w:p>
        </w:tc>
      </w:tr>
      <w:tr>
        <w:tc>
          <w:tcPr/>
          <w:p>
            <w:pPr>
              <w:pStyle w:val="Compact"/>
              <w:jc w:val="right"/>
            </w:pPr>
            <w:r>
              <w:t xml:space="preserve">3</w:t>
            </w:r>
          </w:p>
        </w:tc>
        <w:tc>
          <w:tcPr/>
          <w:p>
            <w:pPr>
              <w:pStyle w:val="Compact"/>
              <w:jc w:val="left"/>
            </w:pPr>
            <w:r>
              <w:t xml:space="preserve">X</w:t>
            </w:r>
          </w:p>
        </w:tc>
        <w:tc>
          <w:tcPr/>
          <w:p>
            <w:pPr>
              <w:pStyle w:val="Compact"/>
              <w:jc w:val="left"/>
            </w:pPr>
            <w:r>
              <w:t xml:space="preserve">Male</w:t>
            </w:r>
          </w:p>
        </w:tc>
        <w:tc>
          <w:tcPr/>
          <w:p>
            <w:pPr>
              <w:pStyle w:val="Compact"/>
              <w:jc w:val="left"/>
            </w:pPr>
            <w:r>
              <w:t xml:space="preserve">50794 (56.6)</w:t>
            </w:r>
          </w:p>
        </w:tc>
        <w:tc>
          <w:tcPr/>
          <w:p>
            <w:pPr>
              <w:pStyle w:val="Compact"/>
              <w:jc w:val="left"/>
            </w:pPr>
            <w:r>
              <w:t xml:space="preserve">5799 (56.5)</w:t>
            </w:r>
          </w:p>
        </w:tc>
        <w:tc>
          <w:tcPr/>
          <w:p>
            <w:pPr>
              <w:pStyle w:val="Compact"/>
              <w:jc w:val="left"/>
            </w:pPr>
            <w:r>
              <w:t xml:space="preserve">7938 (56.4)</w:t>
            </w:r>
          </w:p>
        </w:tc>
        <w:tc>
          <w:tcPr/>
          <w:p>
            <w:pPr>
              <w:pStyle w:val="Compact"/>
              <w:jc w:val="left"/>
            </w:pPr>
            <w:r>
              <w:t xml:space="preserve">21915 (56.1)</w:t>
            </w:r>
          </w:p>
        </w:tc>
        <w:tc>
          <w:tcPr/>
          <w:p>
            <w:pPr>
              <w:pStyle w:val="Compact"/>
              <w:jc w:val="left"/>
            </w:pPr>
            <w:r>
              <w:t xml:space="preserve">15142 (57.6)</w:t>
            </w:r>
          </w:p>
        </w:tc>
        <w:tc>
          <w:tcPr/>
          <w:p>
            <w:pPr>
              <w:pStyle w:val="Compact"/>
            </w:pPr>
          </w:p>
        </w:tc>
        <w:tc>
          <w:tcPr/>
          <w:p>
            <w:pPr>
              <w:pStyle w:val="Compact"/>
              <w:jc w:val="left"/>
            </w:pPr>
            <w:r>
              <w:t xml:space="preserve">NA</w:t>
            </w:r>
          </w:p>
        </w:tc>
      </w:tr>
      <w:tr>
        <w:tc>
          <w:tcPr/>
          <w:p>
            <w:pPr>
              <w:pStyle w:val="Compact"/>
              <w:jc w:val="right"/>
            </w:pPr>
            <w:r>
              <w:t xml:space="preserve">4</w:t>
            </w:r>
          </w:p>
        </w:tc>
        <w:tc>
          <w:tcPr/>
          <w:p>
            <w:pPr>
              <w:pStyle w:val="Compact"/>
              <w:jc w:val="left"/>
            </w:pPr>
            <w:r>
              <w:t xml:space="preserve">age_group....</w:t>
            </w:r>
          </w:p>
        </w:tc>
        <w:tc>
          <w:tcPr/>
          <w:p>
            <w:pPr>
              <w:pStyle w:val="Compact"/>
              <w:jc w:val="left"/>
            </w:pPr>
            <w:r>
              <w:t xml:space="preserve">16-24</w:t>
            </w:r>
          </w:p>
        </w:tc>
        <w:tc>
          <w:tcPr/>
          <w:p>
            <w:pPr>
              <w:pStyle w:val="Compact"/>
              <w:jc w:val="left"/>
            </w:pPr>
            <w:r>
              <w:t xml:space="preserve">6404 ( 7.1)</w:t>
            </w:r>
          </w:p>
        </w:tc>
        <w:tc>
          <w:tcPr/>
          <w:p>
            <w:pPr>
              <w:pStyle w:val="Compact"/>
              <w:jc w:val="left"/>
            </w:pPr>
            <w:r>
              <w:t xml:space="preserve">563 ( 5.5)</w:t>
            </w:r>
          </w:p>
        </w:tc>
        <w:tc>
          <w:tcPr/>
          <w:p>
            <w:pPr>
              <w:pStyle w:val="Compact"/>
              <w:jc w:val="left"/>
            </w:pPr>
            <w:r>
              <w:t xml:space="preserve">874 ( 6.2)</w:t>
            </w:r>
          </w:p>
        </w:tc>
        <w:tc>
          <w:tcPr/>
          <w:p>
            <w:pPr>
              <w:pStyle w:val="Compact"/>
              <w:jc w:val="left"/>
            </w:pPr>
            <w:r>
              <w:t xml:space="preserve">3001 ( 7.7)</w:t>
            </w:r>
          </w:p>
        </w:tc>
        <w:tc>
          <w:tcPr/>
          <w:p>
            <w:pPr>
              <w:pStyle w:val="Compact"/>
              <w:jc w:val="left"/>
            </w:pPr>
            <w:r>
              <w:t xml:space="preserve">1966 ( 7.5)</w:t>
            </w:r>
          </w:p>
        </w:tc>
        <w:tc>
          <w:tcPr/>
          <w:p>
            <w:pPr>
              <w:pStyle w:val="Compact"/>
              <w:jc w:val="left"/>
            </w:pPr>
            <w:r>
              <w:t xml:space="preserve">&lt;0.001</w:t>
            </w:r>
          </w:p>
        </w:tc>
        <w:tc>
          <w:tcPr/>
          <w:p>
            <w:pPr>
              <w:pStyle w:val="Compact"/>
              <w:jc w:val="left"/>
            </w:pPr>
            <w:r>
              <w:t xml:space="preserve">NA</w:t>
            </w:r>
          </w:p>
        </w:tc>
      </w:tr>
      <w:tr>
        <w:tc>
          <w:tcPr/>
          <w:p>
            <w:pPr>
              <w:pStyle w:val="Compact"/>
              <w:jc w:val="right"/>
            </w:pPr>
            <w:r>
              <w:t xml:space="preserve">5</w:t>
            </w:r>
          </w:p>
        </w:tc>
        <w:tc>
          <w:tcPr/>
          <w:p>
            <w:pPr>
              <w:pStyle w:val="Compact"/>
              <w:jc w:val="left"/>
            </w:pPr>
            <w:r>
              <w:t xml:space="preserve">X.1</w:t>
            </w:r>
          </w:p>
        </w:tc>
        <w:tc>
          <w:tcPr/>
          <w:p>
            <w:pPr>
              <w:pStyle w:val="Compact"/>
              <w:jc w:val="left"/>
            </w:pPr>
            <w:r>
              <w:t xml:space="preserve">25-34</w:t>
            </w:r>
          </w:p>
        </w:tc>
        <w:tc>
          <w:tcPr/>
          <w:p>
            <w:pPr>
              <w:pStyle w:val="Compact"/>
              <w:jc w:val="left"/>
            </w:pPr>
            <w:r>
              <w:t xml:space="preserve">16996 (18.9)</w:t>
            </w:r>
          </w:p>
        </w:tc>
        <w:tc>
          <w:tcPr/>
          <w:p>
            <w:pPr>
              <w:pStyle w:val="Compact"/>
              <w:jc w:val="left"/>
            </w:pPr>
            <w:r>
              <w:t xml:space="preserve">1529 (14.9)</w:t>
            </w:r>
          </w:p>
        </w:tc>
        <w:tc>
          <w:tcPr/>
          <w:p>
            <w:pPr>
              <w:pStyle w:val="Compact"/>
              <w:jc w:val="left"/>
            </w:pPr>
            <w:r>
              <w:t xml:space="preserve">2953 (21.0)</w:t>
            </w:r>
          </w:p>
        </w:tc>
        <w:tc>
          <w:tcPr/>
          <w:p>
            <w:pPr>
              <w:pStyle w:val="Compact"/>
              <w:jc w:val="left"/>
            </w:pPr>
            <w:r>
              <w:t xml:space="preserve">7661 (19.6)</w:t>
            </w:r>
          </w:p>
        </w:tc>
        <w:tc>
          <w:tcPr/>
          <w:p>
            <w:pPr>
              <w:pStyle w:val="Compact"/>
              <w:jc w:val="left"/>
            </w:pPr>
            <w:r>
              <w:t xml:space="preserve">4853 (18.4)</w:t>
            </w:r>
          </w:p>
        </w:tc>
        <w:tc>
          <w:tcPr/>
          <w:p>
            <w:pPr>
              <w:pStyle w:val="Compact"/>
            </w:pPr>
          </w:p>
        </w:tc>
        <w:tc>
          <w:tcPr/>
          <w:p>
            <w:pPr>
              <w:pStyle w:val="Compact"/>
              <w:jc w:val="left"/>
            </w:pPr>
            <w:r>
              <w:t xml:space="preserve">NA</w:t>
            </w:r>
          </w:p>
        </w:tc>
      </w:tr>
      <w:tr>
        <w:tc>
          <w:tcPr/>
          <w:p>
            <w:pPr>
              <w:pStyle w:val="Compact"/>
              <w:jc w:val="right"/>
            </w:pPr>
            <w:r>
              <w:t xml:space="preserve">6</w:t>
            </w:r>
          </w:p>
        </w:tc>
        <w:tc>
          <w:tcPr/>
          <w:p>
            <w:pPr>
              <w:pStyle w:val="Compact"/>
              <w:jc w:val="left"/>
            </w:pPr>
            <w:r>
              <w:t xml:space="preserve">X.2</w:t>
            </w:r>
          </w:p>
        </w:tc>
        <w:tc>
          <w:tcPr/>
          <w:p>
            <w:pPr>
              <w:pStyle w:val="Compact"/>
              <w:jc w:val="left"/>
            </w:pPr>
            <w:r>
              <w:t xml:space="preserve">35-44</w:t>
            </w:r>
          </w:p>
        </w:tc>
        <w:tc>
          <w:tcPr/>
          <w:p>
            <w:pPr>
              <w:pStyle w:val="Compact"/>
              <w:jc w:val="left"/>
            </w:pPr>
            <w:r>
              <w:t xml:space="preserve">15316 (17.1)</w:t>
            </w:r>
          </w:p>
        </w:tc>
        <w:tc>
          <w:tcPr/>
          <w:p>
            <w:pPr>
              <w:pStyle w:val="Compact"/>
              <w:jc w:val="left"/>
            </w:pPr>
            <w:r>
              <w:t xml:space="preserve">1568 (15.3)</w:t>
            </w:r>
          </w:p>
        </w:tc>
        <w:tc>
          <w:tcPr/>
          <w:p>
            <w:pPr>
              <w:pStyle w:val="Compact"/>
              <w:jc w:val="left"/>
            </w:pPr>
            <w:r>
              <w:t xml:space="preserve">2541 (18.1)</w:t>
            </w:r>
          </w:p>
        </w:tc>
        <w:tc>
          <w:tcPr/>
          <w:p>
            <w:pPr>
              <w:pStyle w:val="Compact"/>
              <w:jc w:val="left"/>
            </w:pPr>
            <w:r>
              <w:t xml:space="preserve">6477 (16.6)</w:t>
            </w:r>
          </w:p>
        </w:tc>
        <w:tc>
          <w:tcPr/>
          <w:p>
            <w:pPr>
              <w:pStyle w:val="Compact"/>
              <w:jc w:val="left"/>
            </w:pPr>
            <w:r>
              <w:t xml:space="preserve">4730 (18.0)</w:t>
            </w:r>
          </w:p>
        </w:tc>
        <w:tc>
          <w:tcPr/>
          <w:p>
            <w:pPr>
              <w:pStyle w:val="Compact"/>
            </w:pPr>
          </w:p>
        </w:tc>
        <w:tc>
          <w:tcPr/>
          <w:p>
            <w:pPr>
              <w:pStyle w:val="Compact"/>
              <w:jc w:val="left"/>
            </w:pPr>
            <w:r>
              <w:t xml:space="preserve">NA</w:t>
            </w:r>
          </w:p>
        </w:tc>
      </w:tr>
      <w:tr>
        <w:tc>
          <w:tcPr/>
          <w:p>
            <w:pPr>
              <w:pStyle w:val="Compact"/>
              <w:jc w:val="right"/>
            </w:pPr>
            <w:r>
              <w:t xml:space="preserve">7</w:t>
            </w:r>
          </w:p>
        </w:tc>
        <w:tc>
          <w:tcPr/>
          <w:p>
            <w:pPr>
              <w:pStyle w:val="Compact"/>
              <w:jc w:val="left"/>
            </w:pPr>
            <w:r>
              <w:t xml:space="preserve">X.3</w:t>
            </w:r>
          </w:p>
        </w:tc>
        <w:tc>
          <w:tcPr/>
          <w:p>
            <w:pPr>
              <w:pStyle w:val="Compact"/>
              <w:jc w:val="left"/>
            </w:pPr>
            <w:r>
              <w:t xml:space="preserve">45-54</w:t>
            </w:r>
          </w:p>
        </w:tc>
        <w:tc>
          <w:tcPr/>
          <w:p>
            <w:pPr>
              <w:pStyle w:val="Compact"/>
              <w:jc w:val="left"/>
            </w:pPr>
            <w:r>
              <w:t xml:space="preserve">15277 (17.0)</w:t>
            </w:r>
          </w:p>
        </w:tc>
        <w:tc>
          <w:tcPr/>
          <w:p>
            <w:pPr>
              <w:pStyle w:val="Compact"/>
              <w:jc w:val="left"/>
            </w:pPr>
            <w:r>
              <w:t xml:space="preserve">1832 (17.8)</w:t>
            </w:r>
          </w:p>
        </w:tc>
        <w:tc>
          <w:tcPr/>
          <w:p>
            <w:pPr>
              <w:pStyle w:val="Compact"/>
              <w:jc w:val="left"/>
            </w:pPr>
            <w:r>
              <w:t xml:space="preserve">2293 (16.3)</w:t>
            </w:r>
          </w:p>
        </w:tc>
        <w:tc>
          <w:tcPr/>
          <w:p>
            <w:pPr>
              <w:pStyle w:val="Compact"/>
              <w:jc w:val="left"/>
            </w:pPr>
            <w:r>
              <w:t xml:space="preserve">6854 (17.5)</w:t>
            </w:r>
          </w:p>
        </w:tc>
        <w:tc>
          <w:tcPr/>
          <w:p>
            <w:pPr>
              <w:pStyle w:val="Compact"/>
              <w:jc w:val="left"/>
            </w:pPr>
            <w:r>
              <w:t xml:space="preserve">4298 (16.3)</w:t>
            </w:r>
          </w:p>
        </w:tc>
        <w:tc>
          <w:tcPr/>
          <w:p>
            <w:pPr>
              <w:pStyle w:val="Compact"/>
            </w:pPr>
          </w:p>
        </w:tc>
        <w:tc>
          <w:tcPr/>
          <w:p>
            <w:pPr>
              <w:pStyle w:val="Compact"/>
              <w:jc w:val="left"/>
            </w:pPr>
            <w:r>
              <w:t xml:space="preserve">NA</w:t>
            </w:r>
          </w:p>
        </w:tc>
      </w:tr>
      <w:tr>
        <w:tc>
          <w:tcPr/>
          <w:p>
            <w:pPr>
              <w:pStyle w:val="Compact"/>
              <w:jc w:val="right"/>
            </w:pPr>
            <w:r>
              <w:t xml:space="preserve">8</w:t>
            </w:r>
          </w:p>
        </w:tc>
        <w:tc>
          <w:tcPr/>
          <w:p>
            <w:pPr>
              <w:pStyle w:val="Compact"/>
              <w:jc w:val="left"/>
            </w:pPr>
            <w:r>
              <w:t xml:space="preserve">X.4</w:t>
            </w:r>
          </w:p>
        </w:tc>
        <w:tc>
          <w:tcPr/>
          <w:p>
            <w:pPr>
              <w:pStyle w:val="Compact"/>
              <w:jc w:val="left"/>
            </w:pPr>
            <w:r>
              <w:t xml:space="preserve">55-64</w:t>
            </w:r>
          </w:p>
        </w:tc>
        <w:tc>
          <w:tcPr/>
          <w:p>
            <w:pPr>
              <w:pStyle w:val="Compact"/>
              <w:jc w:val="left"/>
            </w:pPr>
            <w:r>
              <w:t xml:space="preserve">20113 (22.4)</w:t>
            </w:r>
          </w:p>
        </w:tc>
        <w:tc>
          <w:tcPr/>
          <w:p>
            <w:pPr>
              <w:pStyle w:val="Compact"/>
              <w:jc w:val="left"/>
            </w:pPr>
            <w:r>
              <w:t xml:space="preserve">2606 (25.4)</w:t>
            </w:r>
          </w:p>
        </w:tc>
        <w:tc>
          <w:tcPr/>
          <w:p>
            <w:pPr>
              <w:pStyle w:val="Compact"/>
              <w:jc w:val="left"/>
            </w:pPr>
            <w:r>
              <w:t xml:space="preserve">2909 (20.7)</w:t>
            </w:r>
          </w:p>
        </w:tc>
        <w:tc>
          <w:tcPr/>
          <w:p>
            <w:pPr>
              <w:pStyle w:val="Compact"/>
              <w:jc w:val="left"/>
            </w:pPr>
            <w:r>
              <w:t xml:space="preserve">8764 (22.4)</w:t>
            </w:r>
          </w:p>
        </w:tc>
        <w:tc>
          <w:tcPr/>
          <w:p>
            <w:pPr>
              <w:pStyle w:val="Compact"/>
              <w:jc w:val="left"/>
            </w:pPr>
            <w:r>
              <w:t xml:space="preserve">5834 (22.2)</w:t>
            </w:r>
          </w:p>
        </w:tc>
        <w:tc>
          <w:tcPr/>
          <w:p>
            <w:pPr>
              <w:pStyle w:val="Compact"/>
            </w:pPr>
          </w:p>
        </w:tc>
        <w:tc>
          <w:tcPr/>
          <w:p>
            <w:pPr>
              <w:pStyle w:val="Compact"/>
              <w:jc w:val="left"/>
            </w:pPr>
            <w:r>
              <w:t xml:space="preserve">NA</w:t>
            </w:r>
          </w:p>
        </w:tc>
      </w:tr>
      <w:tr>
        <w:tc>
          <w:tcPr/>
          <w:p>
            <w:pPr>
              <w:pStyle w:val="Compact"/>
              <w:jc w:val="right"/>
            </w:pPr>
            <w:r>
              <w:t xml:space="preserve">9</w:t>
            </w:r>
          </w:p>
        </w:tc>
        <w:tc>
          <w:tcPr/>
          <w:p>
            <w:pPr>
              <w:pStyle w:val="Compact"/>
              <w:jc w:val="left"/>
            </w:pPr>
            <w:r>
              <w:t xml:space="preserve">X.5</w:t>
            </w:r>
          </w:p>
        </w:tc>
        <w:tc>
          <w:tcPr/>
          <w:p>
            <w:pPr>
              <w:pStyle w:val="Compact"/>
              <w:jc w:val="left"/>
            </w:pPr>
            <w:r>
              <w:t xml:space="preserve">65-74</w:t>
            </w:r>
          </w:p>
        </w:tc>
        <w:tc>
          <w:tcPr/>
          <w:p>
            <w:pPr>
              <w:pStyle w:val="Compact"/>
              <w:jc w:val="left"/>
            </w:pPr>
            <w:r>
              <w:t xml:space="preserve">13170 (14.7)</w:t>
            </w:r>
          </w:p>
        </w:tc>
        <w:tc>
          <w:tcPr/>
          <w:p>
            <w:pPr>
              <w:pStyle w:val="Compact"/>
              <w:jc w:val="left"/>
            </w:pPr>
            <w:r>
              <w:t xml:space="preserve">1811 (17.6)</w:t>
            </w:r>
          </w:p>
        </w:tc>
        <w:tc>
          <w:tcPr/>
          <w:p>
            <w:pPr>
              <w:pStyle w:val="Compact"/>
              <w:jc w:val="left"/>
            </w:pPr>
            <w:r>
              <w:t xml:space="preserve">2041 (14.5)</w:t>
            </w:r>
          </w:p>
        </w:tc>
        <w:tc>
          <w:tcPr/>
          <w:p>
            <w:pPr>
              <w:pStyle w:val="Compact"/>
              <w:jc w:val="left"/>
            </w:pPr>
            <w:r>
              <w:t xml:space="preserve">5387 (13.8)</w:t>
            </w:r>
          </w:p>
        </w:tc>
        <w:tc>
          <w:tcPr/>
          <w:p>
            <w:pPr>
              <w:pStyle w:val="Compact"/>
              <w:jc w:val="left"/>
            </w:pPr>
            <w:r>
              <w:t xml:space="preserve">3931 (14.9)</w:t>
            </w:r>
          </w:p>
        </w:tc>
        <w:tc>
          <w:tcPr/>
          <w:p>
            <w:pPr>
              <w:pStyle w:val="Compact"/>
            </w:pPr>
          </w:p>
        </w:tc>
        <w:tc>
          <w:tcPr/>
          <w:p>
            <w:pPr>
              <w:pStyle w:val="Compact"/>
              <w:jc w:val="left"/>
            </w:pPr>
            <w:r>
              <w:t xml:space="preserve">NA</w:t>
            </w:r>
          </w:p>
        </w:tc>
      </w:tr>
      <w:tr>
        <w:tc>
          <w:tcPr/>
          <w:p>
            <w:pPr>
              <w:pStyle w:val="Compact"/>
              <w:jc w:val="right"/>
            </w:pPr>
            <w:r>
              <w:t xml:space="preserve">10</w:t>
            </w:r>
          </w:p>
        </w:tc>
        <w:tc>
          <w:tcPr/>
          <w:p>
            <w:pPr>
              <w:pStyle w:val="Compact"/>
              <w:jc w:val="left"/>
            </w:pPr>
            <w:r>
              <w:t xml:space="preserve">X.6</w:t>
            </w:r>
          </w:p>
        </w:tc>
        <w:tc>
          <w:tcPr/>
          <w:p>
            <w:pPr>
              <w:pStyle w:val="Compact"/>
              <w:jc w:val="left"/>
            </w:pPr>
            <w:r>
              <w:t xml:space="preserve">75+</w:t>
            </w:r>
          </w:p>
        </w:tc>
        <w:tc>
          <w:tcPr/>
          <w:p>
            <w:pPr>
              <w:pStyle w:val="Compact"/>
              <w:jc w:val="left"/>
            </w:pPr>
            <w:r>
              <w:t xml:space="preserve">2434 ( 2.7)</w:t>
            </w:r>
          </w:p>
        </w:tc>
        <w:tc>
          <w:tcPr/>
          <w:p>
            <w:pPr>
              <w:pStyle w:val="Compact"/>
              <w:jc w:val="left"/>
            </w:pPr>
            <w:r>
              <w:t xml:space="preserve">360 ( 3.5)</w:t>
            </w:r>
          </w:p>
        </w:tc>
        <w:tc>
          <w:tcPr/>
          <w:p>
            <w:pPr>
              <w:pStyle w:val="Compact"/>
              <w:jc w:val="left"/>
            </w:pPr>
            <w:r>
              <w:t xml:space="preserve">457 ( 3.2)</w:t>
            </w:r>
          </w:p>
        </w:tc>
        <w:tc>
          <w:tcPr/>
          <w:p>
            <w:pPr>
              <w:pStyle w:val="Compact"/>
              <w:jc w:val="left"/>
            </w:pPr>
            <w:r>
              <w:t xml:space="preserve">925 ( 2.4)</w:t>
            </w:r>
          </w:p>
        </w:tc>
        <w:tc>
          <w:tcPr/>
          <w:p>
            <w:pPr>
              <w:pStyle w:val="Compact"/>
              <w:jc w:val="left"/>
            </w:pPr>
            <w:r>
              <w:t xml:space="preserve">692 ( 2.6)</w:t>
            </w:r>
          </w:p>
        </w:tc>
        <w:tc>
          <w:tcPr/>
          <w:p>
            <w:pPr>
              <w:pStyle w:val="Compact"/>
            </w:pPr>
          </w:p>
        </w:tc>
        <w:tc>
          <w:tcPr/>
          <w:p>
            <w:pPr>
              <w:pStyle w:val="Compact"/>
              <w:jc w:val="left"/>
            </w:pPr>
            <w:r>
              <w:t xml:space="preserve">NA</w:t>
            </w:r>
          </w:p>
        </w:tc>
      </w:tr>
      <w:tr>
        <w:tc>
          <w:tcPr/>
          <w:p>
            <w:pPr>
              <w:pStyle w:val="Compact"/>
              <w:jc w:val="right"/>
            </w:pPr>
            <w:r>
              <w:t xml:space="preserve">11</w:t>
            </w:r>
          </w:p>
        </w:tc>
        <w:tc>
          <w:tcPr/>
          <w:p>
            <w:pPr>
              <w:pStyle w:val="Compact"/>
              <w:jc w:val="left"/>
            </w:pPr>
            <w:r>
              <w:t xml:space="preserve">ethnic....</w:t>
            </w:r>
          </w:p>
        </w:tc>
        <w:tc>
          <w:tcPr/>
          <w:p>
            <w:pPr>
              <w:pStyle w:val="Compact"/>
              <w:jc w:val="left"/>
            </w:pPr>
            <w:r>
              <w:t xml:space="preserve">minority</w:t>
            </w:r>
          </w:p>
        </w:tc>
        <w:tc>
          <w:tcPr/>
          <w:p>
            <w:pPr>
              <w:pStyle w:val="Compact"/>
              <w:jc w:val="left"/>
            </w:pPr>
            <w:r>
              <w:t xml:space="preserve">14931 (16.6)</w:t>
            </w:r>
          </w:p>
        </w:tc>
        <w:tc>
          <w:tcPr/>
          <w:p>
            <w:pPr>
              <w:pStyle w:val="Compact"/>
              <w:jc w:val="left"/>
            </w:pPr>
            <w:r>
              <w:t xml:space="preserve">624 ( 6.1)</w:t>
            </w:r>
          </w:p>
        </w:tc>
        <w:tc>
          <w:tcPr/>
          <w:p>
            <w:pPr>
              <w:pStyle w:val="Compact"/>
              <w:jc w:val="left"/>
            </w:pPr>
            <w:r>
              <w:t xml:space="preserve">3435 (24.4)</w:t>
            </w:r>
          </w:p>
        </w:tc>
        <w:tc>
          <w:tcPr/>
          <w:p>
            <w:pPr>
              <w:pStyle w:val="Compact"/>
              <w:jc w:val="left"/>
            </w:pPr>
            <w:r>
              <w:t xml:space="preserve">6847 (17.5)</w:t>
            </w:r>
          </w:p>
        </w:tc>
        <w:tc>
          <w:tcPr/>
          <w:p>
            <w:pPr>
              <w:pStyle w:val="Compact"/>
              <w:jc w:val="left"/>
            </w:pPr>
            <w:r>
              <w:t xml:space="preserve">4025 (15.3)</w:t>
            </w:r>
          </w:p>
        </w:tc>
        <w:tc>
          <w:tcPr/>
          <w:p>
            <w:pPr>
              <w:pStyle w:val="Compact"/>
              <w:jc w:val="left"/>
            </w:pPr>
            <w:r>
              <w:t xml:space="preserve">&lt;0.001</w:t>
            </w:r>
          </w:p>
        </w:tc>
        <w:tc>
          <w:tcPr/>
          <w:p>
            <w:pPr>
              <w:pStyle w:val="Compact"/>
              <w:jc w:val="left"/>
            </w:pPr>
            <w:r>
              <w:t xml:space="preserve">NA</w:t>
            </w:r>
          </w:p>
        </w:tc>
      </w:tr>
      <w:tr>
        <w:tc>
          <w:tcPr/>
          <w:p>
            <w:pPr>
              <w:pStyle w:val="Compact"/>
              <w:jc w:val="right"/>
            </w:pPr>
            <w:r>
              <w:t xml:space="preserve">12</w:t>
            </w:r>
          </w:p>
        </w:tc>
        <w:tc>
          <w:tcPr/>
          <w:p>
            <w:pPr>
              <w:pStyle w:val="Compact"/>
              <w:jc w:val="left"/>
            </w:pPr>
            <w:r>
              <w:t xml:space="preserve">X.7</w:t>
            </w:r>
          </w:p>
        </w:tc>
        <w:tc>
          <w:tcPr/>
          <w:p>
            <w:pPr>
              <w:pStyle w:val="Compact"/>
              <w:jc w:val="left"/>
            </w:pPr>
            <w:r>
              <w:t xml:space="preserve">white</w:t>
            </w:r>
          </w:p>
        </w:tc>
        <w:tc>
          <w:tcPr/>
          <w:p>
            <w:pPr>
              <w:pStyle w:val="Compact"/>
              <w:jc w:val="left"/>
            </w:pPr>
            <w:r>
              <w:t xml:space="preserve">74779 (83.4)</w:t>
            </w:r>
          </w:p>
        </w:tc>
        <w:tc>
          <w:tcPr/>
          <w:p>
            <w:pPr>
              <w:pStyle w:val="Compact"/>
              <w:jc w:val="left"/>
            </w:pPr>
            <w:r>
              <w:t xml:space="preserve">9645 (93.9)</w:t>
            </w:r>
          </w:p>
        </w:tc>
        <w:tc>
          <w:tcPr/>
          <w:p>
            <w:pPr>
              <w:pStyle w:val="Compact"/>
              <w:jc w:val="left"/>
            </w:pPr>
            <w:r>
              <w:t xml:space="preserve">10633 (75.6)</w:t>
            </w:r>
          </w:p>
        </w:tc>
        <w:tc>
          <w:tcPr/>
          <w:p>
            <w:pPr>
              <w:pStyle w:val="Compact"/>
              <w:jc w:val="left"/>
            </w:pPr>
            <w:r>
              <w:t xml:space="preserve">32222 (82.5)</w:t>
            </w:r>
          </w:p>
        </w:tc>
        <w:tc>
          <w:tcPr/>
          <w:p>
            <w:pPr>
              <w:pStyle w:val="Compact"/>
              <w:jc w:val="left"/>
            </w:pPr>
            <w:r>
              <w:t xml:space="preserve">22279 (84.7)</w:t>
            </w:r>
          </w:p>
        </w:tc>
        <w:tc>
          <w:tcPr/>
          <w:p>
            <w:pPr>
              <w:pStyle w:val="Compact"/>
            </w:pPr>
          </w:p>
        </w:tc>
        <w:tc>
          <w:tcPr/>
          <w:p>
            <w:pPr>
              <w:pStyle w:val="Compact"/>
              <w:jc w:val="left"/>
            </w:pPr>
            <w:r>
              <w:t xml:space="preserve">NA</w:t>
            </w:r>
          </w:p>
        </w:tc>
      </w:tr>
      <w:tr>
        <w:tc>
          <w:tcPr/>
          <w:p>
            <w:pPr>
              <w:pStyle w:val="Compact"/>
              <w:jc w:val="right"/>
            </w:pPr>
            <w:r>
              <w:t xml:space="preserve">13</w:t>
            </w:r>
          </w:p>
        </w:tc>
        <w:tc>
          <w:tcPr/>
          <w:p>
            <w:pPr>
              <w:pStyle w:val="Compact"/>
              <w:jc w:val="left"/>
            </w:pPr>
            <w:r>
              <w:t xml:space="preserve">quintsoc....</w:t>
            </w:r>
          </w:p>
        </w:tc>
        <w:tc>
          <w:tcPr/>
          <w:p>
            <w:pPr>
              <w:pStyle w:val="Compact"/>
              <w:jc w:val="left"/>
            </w:pPr>
            <w:r>
              <w:t xml:space="preserve">1</w:t>
            </w:r>
          </w:p>
        </w:tc>
        <w:tc>
          <w:tcPr/>
          <w:p>
            <w:pPr>
              <w:pStyle w:val="Compact"/>
              <w:jc w:val="left"/>
            </w:pPr>
            <w:r>
              <w:t xml:space="preserve">18355 (20.5)</w:t>
            </w:r>
          </w:p>
        </w:tc>
        <w:tc>
          <w:tcPr/>
          <w:p>
            <w:pPr>
              <w:pStyle w:val="Compact"/>
              <w:jc w:val="left"/>
            </w:pPr>
            <w:r>
              <w:t xml:space="preserve">1304 (12.7)</w:t>
            </w:r>
          </w:p>
        </w:tc>
        <w:tc>
          <w:tcPr/>
          <w:p>
            <w:pPr>
              <w:pStyle w:val="Compact"/>
              <w:jc w:val="left"/>
            </w:pPr>
            <w:r>
              <w:t xml:space="preserve">2523 (17.9)</w:t>
            </w:r>
          </w:p>
        </w:tc>
        <w:tc>
          <w:tcPr/>
          <w:p>
            <w:pPr>
              <w:pStyle w:val="Compact"/>
              <w:jc w:val="left"/>
            </w:pPr>
            <w:r>
              <w:t xml:space="preserve">8794 (22.5)</w:t>
            </w:r>
          </w:p>
        </w:tc>
        <w:tc>
          <w:tcPr/>
          <w:p>
            <w:pPr>
              <w:pStyle w:val="Compact"/>
              <w:jc w:val="left"/>
            </w:pPr>
            <w:r>
              <w:t xml:space="preserve">5734 (21.8)</w:t>
            </w:r>
          </w:p>
        </w:tc>
        <w:tc>
          <w:tcPr/>
          <w:p>
            <w:pPr>
              <w:pStyle w:val="Compact"/>
              <w:jc w:val="left"/>
            </w:pPr>
            <w:r>
              <w:t xml:space="preserve">&lt;0.001</w:t>
            </w:r>
          </w:p>
        </w:tc>
        <w:tc>
          <w:tcPr/>
          <w:p>
            <w:pPr>
              <w:pStyle w:val="Compact"/>
              <w:jc w:val="left"/>
            </w:pPr>
            <w:r>
              <w:t xml:space="preserve">NA</w:t>
            </w:r>
          </w:p>
        </w:tc>
      </w:tr>
      <w:tr>
        <w:tc>
          <w:tcPr/>
          <w:p>
            <w:pPr>
              <w:pStyle w:val="Compact"/>
              <w:jc w:val="right"/>
            </w:pPr>
            <w:r>
              <w:t xml:space="preserve">14</w:t>
            </w:r>
          </w:p>
        </w:tc>
        <w:tc>
          <w:tcPr/>
          <w:p>
            <w:pPr>
              <w:pStyle w:val="Compact"/>
              <w:jc w:val="left"/>
            </w:pPr>
            <w:r>
              <w:t xml:space="preserve">X.8</w:t>
            </w:r>
          </w:p>
        </w:tc>
        <w:tc>
          <w:tcPr/>
          <w:p>
            <w:pPr>
              <w:pStyle w:val="Compact"/>
              <w:jc w:val="left"/>
            </w:pPr>
            <w:r>
              <w:t xml:space="preserve">2</w:t>
            </w:r>
          </w:p>
        </w:tc>
        <w:tc>
          <w:tcPr/>
          <w:p>
            <w:pPr>
              <w:pStyle w:val="Compact"/>
              <w:jc w:val="left"/>
            </w:pPr>
            <w:r>
              <w:t xml:space="preserve">19034 (21.2)</w:t>
            </w:r>
          </w:p>
        </w:tc>
        <w:tc>
          <w:tcPr/>
          <w:p>
            <w:pPr>
              <w:pStyle w:val="Compact"/>
              <w:jc w:val="left"/>
            </w:pPr>
            <w:r>
              <w:t xml:space="preserve">2689 (26.2)</w:t>
            </w:r>
          </w:p>
        </w:tc>
        <w:tc>
          <w:tcPr/>
          <w:p>
            <w:pPr>
              <w:pStyle w:val="Compact"/>
              <w:jc w:val="left"/>
            </w:pPr>
            <w:r>
              <w:t xml:space="preserve">2981 (21.2)</w:t>
            </w:r>
          </w:p>
        </w:tc>
        <w:tc>
          <w:tcPr/>
          <w:p>
            <w:pPr>
              <w:pStyle w:val="Compact"/>
              <w:jc w:val="left"/>
            </w:pPr>
            <w:r>
              <w:t xml:space="preserve">8600 (22.0)</w:t>
            </w:r>
          </w:p>
        </w:tc>
        <w:tc>
          <w:tcPr/>
          <w:p>
            <w:pPr>
              <w:pStyle w:val="Compact"/>
              <w:jc w:val="left"/>
            </w:pPr>
            <w:r>
              <w:t xml:space="preserve">4764 (18.1)</w:t>
            </w:r>
          </w:p>
        </w:tc>
        <w:tc>
          <w:tcPr/>
          <w:p>
            <w:pPr>
              <w:pStyle w:val="Compact"/>
            </w:pPr>
          </w:p>
        </w:tc>
        <w:tc>
          <w:tcPr/>
          <w:p>
            <w:pPr>
              <w:pStyle w:val="Compact"/>
              <w:jc w:val="left"/>
            </w:pPr>
            <w:r>
              <w:t xml:space="preserve">NA</w:t>
            </w:r>
          </w:p>
        </w:tc>
      </w:tr>
      <w:tr>
        <w:tc>
          <w:tcPr/>
          <w:p>
            <w:pPr>
              <w:pStyle w:val="Compact"/>
              <w:jc w:val="right"/>
            </w:pPr>
            <w:r>
              <w:t xml:space="preserve">15</w:t>
            </w:r>
          </w:p>
        </w:tc>
        <w:tc>
          <w:tcPr/>
          <w:p>
            <w:pPr>
              <w:pStyle w:val="Compact"/>
              <w:jc w:val="left"/>
            </w:pPr>
            <w:r>
              <w:t xml:space="preserve">X.9</w:t>
            </w:r>
          </w:p>
        </w:tc>
        <w:tc>
          <w:tcPr/>
          <w:p>
            <w:pPr>
              <w:pStyle w:val="Compact"/>
              <w:jc w:val="left"/>
            </w:pPr>
            <w:r>
              <w:t xml:space="preserve">3</w:t>
            </w:r>
          </w:p>
        </w:tc>
        <w:tc>
          <w:tcPr/>
          <w:p>
            <w:pPr>
              <w:pStyle w:val="Compact"/>
              <w:jc w:val="left"/>
            </w:pPr>
            <w:r>
              <w:t xml:space="preserve">18107 (20.2)</w:t>
            </w:r>
          </w:p>
        </w:tc>
        <w:tc>
          <w:tcPr/>
          <w:p>
            <w:pPr>
              <w:pStyle w:val="Compact"/>
              <w:jc w:val="left"/>
            </w:pPr>
            <w:r>
              <w:t xml:space="preserve">2669 (26.0)</w:t>
            </w:r>
          </w:p>
        </w:tc>
        <w:tc>
          <w:tcPr/>
          <w:p>
            <w:pPr>
              <w:pStyle w:val="Compact"/>
              <w:jc w:val="left"/>
            </w:pPr>
            <w:r>
              <w:t xml:space="preserve">2695 (19.2)</w:t>
            </w:r>
          </w:p>
        </w:tc>
        <w:tc>
          <w:tcPr/>
          <w:p>
            <w:pPr>
              <w:pStyle w:val="Compact"/>
              <w:jc w:val="left"/>
            </w:pPr>
            <w:r>
              <w:t xml:space="preserve">7604 (19.5)</w:t>
            </w:r>
          </w:p>
        </w:tc>
        <w:tc>
          <w:tcPr/>
          <w:p>
            <w:pPr>
              <w:pStyle w:val="Compact"/>
              <w:jc w:val="left"/>
            </w:pPr>
            <w:r>
              <w:t xml:space="preserve">5139 (19.5)</w:t>
            </w:r>
          </w:p>
        </w:tc>
        <w:tc>
          <w:tcPr/>
          <w:p>
            <w:pPr>
              <w:pStyle w:val="Compact"/>
            </w:pPr>
          </w:p>
        </w:tc>
        <w:tc>
          <w:tcPr/>
          <w:p>
            <w:pPr>
              <w:pStyle w:val="Compact"/>
              <w:jc w:val="left"/>
            </w:pPr>
            <w:r>
              <w:t xml:space="preserve">NA</w:t>
            </w:r>
          </w:p>
        </w:tc>
      </w:tr>
      <w:tr>
        <w:tc>
          <w:tcPr/>
          <w:p>
            <w:pPr>
              <w:pStyle w:val="Compact"/>
              <w:jc w:val="right"/>
            </w:pPr>
            <w:r>
              <w:t xml:space="preserve">16</w:t>
            </w:r>
          </w:p>
        </w:tc>
        <w:tc>
          <w:tcPr/>
          <w:p>
            <w:pPr>
              <w:pStyle w:val="Compact"/>
              <w:jc w:val="left"/>
            </w:pPr>
            <w:r>
              <w:t xml:space="preserve">X.10</w:t>
            </w:r>
          </w:p>
        </w:tc>
        <w:tc>
          <w:tcPr/>
          <w:p>
            <w:pPr>
              <w:pStyle w:val="Compact"/>
              <w:jc w:val="left"/>
            </w:pPr>
            <w:r>
              <w:t xml:space="preserve">4</w:t>
            </w:r>
          </w:p>
        </w:tc>
        <w:tc>
          <w:tcPr/>
          <w:p>
            <w:pPr>
              <w:pStyle w:val="Compact"/>
              <w:jc w:val="left"/>
            </w:pPr>
            <w:r>
              <w:t xml:space="preserve">16696 (18.6)</w:t>
            </w:r>
          </w:p>
        </w:tc>
        <w:tc>
          <w:tcPr/>
          <w:p>
            <w:pPr>
              <w:pStyle w:val="Compact"/>
              <w:jc w:val="left"/>
            </w:pPr>
            <w:r>
              <w:t xml:space="preserve">2018 (19.7)</w:t>
            </w:r>
          </w:p>
        </w:tc>
        <w:tc>
          <w:tcPr/>
          <w:p>
            <w:pPr>
              <w:pStyle w:val="Compact"/>
              <w:jc w:val="left"/>
            </w:pPr>
            <w:r>
              <w:t xml:space="preserve">2560 (18.2)</w:t>
            </w:r>
          </w:p>
        </w:tc>
        <w:tc>
          <w:tcPr/>
          <w:p>
            <w:pPr>
              <w:pStyle w:val="Compact"/>
              <w:jc w:val="left"/>
            </w:pPr>
            <w:r>
              <w:t xml:space="preserve">6898 (17.7)</w:t>
            </w:r>
          </w:p>
        </w:tc>
        <w:tc>
          <w:tcPr/>
          <w:p>
            <w:pPr>
              <w:pStyle w:val="Compact"/>
              <w:jc w:val="left"/>
            </w:pPr>
            <w:r>
              <w:t xml:space="preserve">5220 (19.8)</w:t>
            </w:r>
          </w:p>
        </w:tc>
        <w:tc>
          <w:tcPr/>
          <w:p>
            <w:pPr>
              <w:pStyle w:val="Compact"/>
            </w:pPr>
          </w:p>
        </w:tc>
        <w:tc>
          <w:tcPr/>
          <w:p>
            <w:pPr>
              <w:pStyle w:val="Compact"/>
              <w:jc w:val="left"/>
            </w:pPr>
            <w:r>
              <w:t xml:space="preserve">NA</w:t>
            </w:r>
          </w:p>
        </w:tc>
      </w:tr>
      <w:tr>
        <w:tc>
          <w:tcPr/>
          <w:p>
            <w:pPr>
              <w:pStyle w:val="Compact"/>
              <w:jc w:val="right"/>
            </w:pPr>
            <w:r>
              <w:t xml:space="preserve">17</w:t>
            </w:r>
          </w:p>
        </w:tc>
        <w:tc>
          <w:tcPr/>
          <w:p>
            <w:pPr>
              <w:pStyle w:val="Compact"/>
              <w:jc w:val="left"/>
            </w:pPr>
            <w:r>
              <w:t xml:space="preserve">X.11</w:t>
            </w:r>
          </w:p>
        </w:tc>
        <w:tc>
          <w:tcPr/>
          <w:p>
            <w:pPr>
              <w:pStyle w:val="Compact"/>
              <w:jc w:val="left"/>
            </w:pPr>
            <w:r>
              <w:t xml:space="preserve">5</w:t>
            </w:r>
          </w:p>
        </w:tc>
        <w:tc>
          <w:tcPr/>
          <w:p>
            <w:pPr>
              <w:pStyle w:val="Compact"/>
              <w:jc w:val="left"/>
            </w:pPr>
            <w:r>
              <w:t xml:space="preserve">17518 (19.5)</w:t>
            </w:r>
          </w:p>
        </w:tc>
        <w:tc>
          <w:tcPr/>
          <w:p>
            <w:pPr>
              <w:pStyle w:val="Compact"/>
              <w:jc w:val="left"/>
            </w:pPr>
            <w:r>
              <w:t xml:space="preserve">1589 (15.5)</w:t>
            </w:r>
          </w:p>
        </w:tc>
        <w:tc>
          <w:tcPr/>
          <w:p>
            <w:pPr>
              <w:pStyle w:val="Compact"/>
              <w:jc w:val="left"/>
            </w:pPr>
            <w:r>
              <w:t xml:space="preserve">3309 (23.5)</w:t>
            </w:r>
          </w:p>
        </w:tc>
        <w:tc>
          <w:tcPr/>
          <w:p>
            <w:pPr>
              <w:pStyle w:val="Compact"/>
              <w:jc w:val="left"/>
            </w:pPr>
            <w:r>
              <w:t xml:space="preserve">7173 (18.4)</w:t>
            </w:r>
          </w:p>
        </w:tc>
        <w:tc>
          <w:tcPr/>
          <w:p>
            <w:pPr>
              <w:pStyle w:val="Compact"/>
              <w:jc w:val="left"/>
            </w:pPr>
            <w:r>
              <w:t xml:space="preserve">5447 (20.7)</w:t>
            </w:r>
          </w:p>
        </w:tc>
        <w:tc>
          <w:tcPr/>
          <w:p>
            <w:pPr>
              <w:pStyle w:val="Compact"/>
            </w:pPr>
          </w:p>
        </w:tc>
        <w:tc>
          <w:tcPr/>
          <w:p>
            <w:pPr>
              <w:pStyle w:val="Compact"/>
              <w:jc w:val="left"/>
            </w:pPr>
            <w:r>
              <w:t xml:space="preserve">NA</w:t>
            </w:r>
          </w:p>
        </w:tc>
      </w:tr>
      <w:tr>
        <w:tc>
          <w:tcPr/>
          <w:p>
            <w:pPr>
              <w:pStyle w:val="Compact"/>
              <w:jc w:val="right"/>
            </w:pPr>
            <w:r>
              <w:t xml:space="preserve">18</w:t>
            </w:r>
          </w:p>
        </w:tc>
        <w:tc>
          <w:tcPr/>
          <w:p>
            <w:pPr>
              <w:pStyle w:val="Compact"/>
              <w:jc w:val="left"/>
            </w:pPr>
            <w:r>
              <w:t xml:space="preserve">quintmat....</w:t>
            </w:r>
          </w:p>
        </w:tc>
        <w:tc>
          <w:tcPr/>
          <w:p>
            <w:pPr>
              <w:pStyle w:val="Compact"/>
              <w:jc w:val="left"/>
            </w:pPr>
            <w:r>
              <w:t xml:space="preserve">1</w:t>
            </w:r>
          </w:p>
        </w:tc>
        <w:tc>
          <w:tcPr/>
          <w:p>
            <w:pPr>
              <w:pStyle w:val="Compact"/>
              <w:jc w:val="left"/>
            </w:pPr>
            <w:r>
              <w:t xml:space="preserve">27518 (30.7)</w:t>
            </w:r>
          </w:p>
        </w:tc>
        <w:tc>
          <w:tcPr/>
          <w:p>
            <w:pPr>
              <w:pStyle w:val="Compact"/>
              <w:jc w:val="left"/>
            </w:pPr>
            <w:r>
              <w:t xml:space="preserve">1856 (18.1)</w:t>
            </w:r>
          </w:p>
        </w:tc>
        <w:tc>
          <w:tcPr/>
          <w:p>
            <w:pPr>
              <w:pStyle w:val="Compact"/>
              <w:jc w:val="left"/>
            </w:pPr>
            <w:r>
              <w:t xml:space="preserve">4302 (30.6)</w:t>
            </w:r>
          </w:p>
        </w:tc>
        <w:tc>
          <w:tcPr/>
          <w:p>
            <w:pPr>
              <w:pStyle w:val="Compact"/>
              <w:jc w:val="left"/>
            </w:pPr>
            <w:r>
              <w:t xml:space="preserve">10416 (26.7)</w:t>
            </w:r>
          </w:p>
        </w:tc>
        <w:tc>
          <w:tcPr/>
          <w:p>
            <w:pPr>
              <w:pStyle w:val="Compact"/>
              <w:jc w:val="left"/>
            </w:pPr>
            <w:r>
              <w:t xml:space="preserve">10944 (41.6)</w:t>
            </w:r>
          </w:p>
        </w:tc>
        <w:tc>
          <w:tcPr/>
          <w:p>
            <w:pPr>
              <w:pStyle w:val="Compact"/>
              <w:jc w:val="left"/>
            </w:pPr>
            <w:r>
              <w:t xml:space="preserve">&lt;0.001</w:t>
            </w:r>
          </w:p>
        </w:tc>
        <w:tc>
          <w:tcPr/>
          <w:p>
            <w:pPr>
              <w:pStyle w:val="Compact"/>
              <w:jc w:val="left"/>
            </w:pPr>
            <w:r>
              <w:t xml:space="preserve">NA</w:t>
            </w:r>
          </w:p>
        </w:tc>
      </w:tr>
      <w:tr>
        <w:tc>
          <w:tcPr/>
          <w:p>
            <w:pPr>
              <w:pStyle w:val="Compact"/>
              <w:jc w:val="right"/>
            </w:pPr>
            <w:r>
              <w:t xml:space="preserve">19</w:t>
            </w:r>
          </w:p>
        </w:tc>
        <w:tc>
          <w:tcPr/>
          <w:p>
            <w:pPr>
              <w:pStyle w:val="Compact"/>
              <w:jc w:val="left"/>
            </w:pPr>
            <w:r>
              <w:t xml:space="preserve">X.12</w:t>
            </w:r>
          </w:p>
        </w:tc>
        <w:tc>
          <w:tcPr/>
          <w:p>
            <w:pPr>
              <w:pStyle w:val="Compact"/>
              <w:jc w:val="left"/>
            </w:pPr>
            <w:r>
              <w:t xml:space="preserve">2</w:t>
            </w:r>
          </w:p>
        </w:tc>
        <w:tc>
          <w:tcPr/>
          <w:p>
            <w:pPr>
              <w:pStyle w:val="Compact"/>
              <w:jc w:val="left"/>
            </w:pPr>
            <w:r>
              <w:t xml:space="preserve">21636 (24.1)</w:t>
            </w:r>
          </w:p>
        </w:tc>
        <w:tc>
          <w:tcPr/>
          <w:p>
            <w:pPr>
              <w:pStyle w:val="Compact"/>
              <w:jc w:val="left"/>
            </w:pPr>
            <w:r>
              <w:t xml:space="preserve">2138 (20.8)</w:t>
            </w:r>
          </w:p>
        </w:tc>
        <w:tc>
          <w:tcPr/>
          <w:p>
            <w:pPr>
              <w:pStyle w:val="Compact"/>
              <w:jc w:val="left"/>
            </w:pPr>
            <w:r>
              <w:t xml:space="preserve">3602 (25.6)</w:t>
            </w:r>
          </w:p>
        </w:tc>
        <w:tc>
          <w:tcPr/>
          <w:p>
            <w:pPr>
              <w:pStyle w:val="Compact"/>
              <w:jc w:val="left"/>
            </w:pPr>
            <w:r>
              <w:t xml:space="preserve">9488 (24.3)</w:t>
            </w:r>
          </w:p>
        </w:tc>
        <w:tc>
          <w:tcPr/>
          <w:p>
            <w:pPr>
              <w:pStyle w:val="Compact"/>
              <w:jc w:val="left"/>
            </w:pPr>
            <w:r>
              <w:t xml:space="preserve">6408 (24.4)</w:t>
            </w:r>
          </w:p>
        </w:tc>
        <w:tc>
          <w:tcPr/>
          <w:p>
            <w:pPr>
              <w:pStyle w:val="Compact"/>
            </w:pPr>
          </w:p>
        </w:tc>
        <w:tc>
          <w:tcPr/>
          <w:p>
            <w:pPr>
              <w:pStyle w:val="Compact"/>
              <w:jc w:val="left"/>
            </w:pPr>
            <w:r>
              <w:t xml:space="preserve">NA</w:t>
            </w:r>
          </w:p>
        </w:tc>
      </w:tr>
      <w:tr>
        <w:tc>
          <w:tcPr/>
          <w:p>
            <w:pPr>
              <w:pStyle w:val="Compact"/>
              <w:jc w:val="right"/>
            </w:pPr>
            <w:r>
              <w:t xml:space="preserve">20</w:t>
            </w:r>
          </w:p>
        </w:tc>
        <w:tc>
          <w:tcPr/>
          <w:p>
            <w:pPr>
              <w:pStyle w:val="Compact"/>
              <w:jc w:val="left"/>
            </w:pPr>
            <w:r>
              <w:t xml:space="preserve">X.13</w:t>
            </w:r>
          </w:p>
        </w:tc>
        <w:tc>
          <w:tcPr/>
          <w:p>
            <w:pPr>
              <w:pStyle w:val="Compact"/>
              <w:jc w:val="left"/>
            </w:pPr>
            <w:r>
              <w:t xml:space="preserve">3</w:t>
            </w:r>
          </w:p>
        </w:tc>
        <w:tc>
          <w:tcPr/>
          <w:p>
            <w:pPr>
              <w:pStyle w:val="Compact"/>
              <w:jc w:val="left"/>
            </w:pPr>
            <w:r>
              <w:t xml:space="preserve">18217 (20.3)</w:t>
            </w:r>
          </w:p>
        </w:tc>
        <w:tc>
          <w:tcPr/>
          <w:p>
            <w:pPr>
              <w:pStyle w:val="Compact"/>
              <w:jc w:val="left"/>
            </w:pPr>
            <w:r>
              <w:t xml:space="preserve">2096 (20.4)</w:t>
            </w:r>
          </w:p>
        </w:tc>
        <w:tc>
          <w:tcPr/>
          <w:p>
            <w:pPr>
              <w:pStyle w:val="Compact"/>
              <w:jc w:val="left"/>
            </w:pPr>
            <w:r>
              <w:t xml:space="preserve">2874 (20.4)</w:t>
            </w:r>
          </w:p>
        </w:tc>
        <w:tc>
          <w:tcPr/>
          <w:p>
            <w:pPr>
              <w:pStyle w:val="Compact"/>
              <w:jc w:val="left"/>
            </w:pPr>
            <w:r>
              <w:t xml:space="preserve">8653 (22.1)</w:t>
            </w:r>
          </w:p>
        </w:tc>
        <w:tc>
          <w:tcPr/>
          <w:p>
            <w:pPr>
              <w:pStyle w:val="Compact"/>
              <w:jc w:val="left"/>
            </w:pPr>
            <w:r>
              <w:t xml:space="preserve">4594 (17.5)</w:t>
            </w:r>
          </w:p>
        </w:tc>
        <w:tc>
          <w:tcPr/>
          <w:p>
            <w:pPr>
              <w:pStyle w:val="Compact"/>
            </w:pPr>
          </w:p>
        </w:tc>
        <w:tc>
          <w:tcPr/>
          <w:p>
            <w:pPr>
              <w:pStyle w:val="Compact"/>
              <w:jc w:val="left"/>
            </w:pPr>
            <w:r>
              <w:t xml:space="preserve">NA</w:t>
            </w:r>
          </w:p>
        </w:tc>
      </w:tr>
      <w:tr>
        <w:tc>
          <w:tcPr/>
          <w:p>
            <w:pPr>
              <w:pStyle w:val="Compact"/>
              <w:jc w:val="right"/>
            </w:pPr>
            <w:r>
              <w:t xml:space="preserve">21</w:t>
            </w:r>
          </w:p>
        </w:tc>
        <w:tc>
          <w:tcPr/>
          <w:p>
            <w:pPr>
              <w:pStyle w:val="Compact"/>
              <w:jc w:val="left"/>
            </w:pPr>
            <w:r>
              <w:t xml:space="preserve">X.14</w:t>
            </w:r>
          </w:p>
        </w:tc>
        <w:tc>
          <w:tcPr/>
          <w:p>
            <w:pPr>
              <w:pStyle w:val="Compact"/>
              <w:jc w:val="left"/>
            </w:pPr>
            <w:r>
              <w:t xml:space="preserve">4</w:t>
            </w:r>
          </w:p>
        </w:tc>
        <w:tc>
          <w:tcPr/>
          <w:p>
            <w:pPr>
              <w:pStyle w:val="Compact"/>
              <w:jc w:val="left"/>
            </w:pPr>
            <w:r>
              <w:t xml:space="preserve">14116 (15.7)</w:t>
            </w:r>
          </w:p>
        </w:tc>
        <w:tc>
          <w:tcPr/>
          <w:p>
            <w:pPr>
              <w:pStyle w:val="Compact"/>
              <w:jc w:val="left"/>
            </w:pPr>
            <w:r>
              <w:t xml:space="preserve">2360 (23.0)</w:t>
            </w:r>
          </w:p>
        </w:tc>
        <w:tc>
          <w:tcPr/>
          <w:p>
            <w:pPr>
              <w:pStyle w:val="Compact"/>
              <w:jc w:val="left"/>
            </w:pPr>
            <w:r>
              <w:t xml:space="preserve">2075 (14.7)</w:t>
            </w:r>
          </w:p>
        </w:tc>
        <w:tc>
          <w:tcPr/>
          <w:p>
            <w:pPr>
              <w:pStyle w:val="Compact"/>
              <w:jc w:val="left"/>
            </w:pPr>
            <w:r>
              <w:t xml:space="preserve">6681 (17.1)</w:t>
            </w:r>
          </w:p>
        </w:tc>
        <w:tc>
          <w:tcPr/>
          <w:p>
            <w:pPr>
              <w:pStyle w:val="Compact"/>
              <w:jc w:val="left"/>
            </w:pPr>
            <w:r>
              <w:t xml:space="preserve">3000 (11.4)</w:t>
            </w:r>
          </w:p>
        </w:tc>
        <w:tc>
          <w:tcPr/>
          <w:p>
            <w:pPr>
              <w:pStyle w:val="Compact"/>
            </w:pPr>
          </w:p>
        </w:tc>
        <w:tc>
          <w:tcPr/>
          <w:p>
            <w:pPr>
              <w:pStyle w:val="Compact"/>
              <w:jc w:val="left"/>
            </w:pPr>
            <w:r>
              <w:t xml:space="preserve">NA</w:t>
            </w:r>
          </w:p>
        </w:tc>
      </w:tr>
      <w:tr>
        <w:tc>
          <w:tcPr/>
          <w:p>
            <w:pPr>
              <w:pStyle w:val="Compact"/>
              <w:jc w:val="right"/>
            </w:pPr>
            <w:r>
              <w:t xml:space="preserve">22</w:t>
            </w:r>
          </w:p>
        </w:tc>
        <w:tc>
          <w:tcPr/>
          <w:p>
            <w:pPr>
              <w:pStyle w:val="Compact"/>
              <w:jc w:val="left"/>
            </w:pPr>
            <w:r>
              <w:t xml:space="preserve">X.15</w:t>
            </w:r>
          </w:p>
        </w:tc>
        <w:tc>
          <w:tcPr/>
          <w:p>
            <w:pPr>
              <w:pStyle w:val="Compact"/>
              <w:jc w:val="left"/>
            </w:pPr>
            <w:r>
              <w:t xml:space="preserve">5</w:t>
            </w:r>
          </w:p>
        </w:tc>
        <w:tc>
          <w:tcPr/>
          <w:p>
            <w:pPr>
              <w:pStyle w:val="Compact"/>
              <w:jc w:val="left"/>
            </w:pPr>
            <w:r>
              <w:t xml:space="preserve">8223 ( 9.2)</w:t>
            </w:r>
          </w:p>
        </w:tc>
        <w:tc>
          <w:tcPr/>
          <w:p>
            <w:pPr>
              <w:pStyle w:val="Compact"/>
              <w:jc w:val="left"/>
            </w:pPr>
            <w:r>
              <w:t xml:space="preserve">1819 (17.7)</w:t>
            </w:r>
          </w:p>
        </w:tc>
        <w:tc>
          <w:tcPr/>
          <w:p>
            <w:pPr>
              <w:pStyle w:val="Compact"/>
              <w:jc w:val="left"/>
            </w:pPr>
            <w:r>
              <w:t xml:space="preserve">1215 ( 8.6)</w:t>
            </w:r>
          </w:p>
        </w:tc>
        <w:tc>
          <w:tcPr/>
          <w:p>
            <w:pPr>
              <w:pStyle w:val="Compact"/>
              <w:jc w:val="left"/>
            </w:pPr>
            <w:r>
              <w:t xml:space="preserve">3831 ( 9.8)</w:t>
            </w:r>
          </w:p>
        </w:tc>
        <w:tc>
          <w:tcPr/>
          <w:p>
            <w:pPr>
              <w:pStyle w:val="Compact"/>
              <w:jc w:val="left"/>
            </w:pPr>
            <w:r>
              <w:t xml:space="preserve">1358 ( 5.2)</w:t>
            </w:r>
          </w:p>
        </w:tc>
        <w:tc>
          <w:tcPr/>
          <w:p>
            <w:pPr>
              <w:pStyle w:val="Compact"/>
            </w:pPr>
          </w:p>
        </w:tc>
        <w:tc>
          <w:tcPr/>
          <w:p>
            <w:pPr>
              <w:pStyle w:val="Compact"/>
              <w:jc w:val="left"/>
            </w:pPr>
            <w:r>
              <w:t xml:space="preserve">NA</w:t>
            </w:r>
          </w:p>
        </w:tc>
      </w:tr>
      <w:tr>
        <w:tc>
          <w:tcPr/>
          <w:p>
            <w:pPr>
              <w:pStyle w:val="Compact"/>
              <w:jc w:val="right"/>
            </w:pPr>
            <w:r>
              <w:t xml:space="preserve">23</w:t>
            </w:r>
          </w:p>
        </w:tc>
        <w:tc>
          <w:tcPr/>
          <w:p>
            <w:pPr>
              <w:pStyle w:val="Compact"/>
              <w:jc w:val="left"/>
            </w:pPr>
            <w:r>
              <w:t xml:space="preserve">urban....</w:t>
            </w:r>
          </w:p>
        </w:tc>
        <w:tc>
          <w:tcPr/>
          <w:p>
            <w:pPr>
              <w:pStyle w:val="Compact"/>
              <w:jc w:val="left"/>
            </w:pPr>
            <w:r>
              <w:t xml:space="preserve">Rural</w:t>
            </w:r>
          </w:p>
        </w:tc>
        <w:tc>
          <w:tcPr/>
          <w:p>
            <w:pPr>
              <w:pStyle w:val="Compact"/>
              <w:jc w:val="left"/>
            </w:pPr>
            <w:r>
              <w:t xml:space="preserve">11591 (12.9)</w:t>
            </w:r>
          </w:p>
        </w:tc>
        <w:tc>
          <w:tcPr/>
          <w:p>
            <w:pPr>
              <w:pStyle w:val="Compact"/>
              <w:jc w:val="left"/>
            </w:pPr>
            <w:r>
              <w:t xml:space="preserve">2001 (19.5)</w:t>
            </w:r>
          </w:p>
        </w:tc>
        <w:tc>
          <w:tcPr/>
          <w:p>
            <w:pPr>
              <w:pStyle w:val="Compact"/>
              <w:jc w:val="left"/>
            </w:pPr>
            <w:r>
              <w:t xml:space="preserve">603 ( 4.3)</w:t>
            </w:r>
          </w:p>
        </w:tc>
        <w:tc>
          <w:tcPr/>
          <w:p>
            <w:pPr>
              <w:pStyle w:val="Compact"/>
              <w:jc w:val="left"/>
            </w:pPr>
            <w:r>
              <w:t xml:space="preserve">5948 (15.2)</w:t>
            </w:r>
          </w:p>
        </w:tc>
        <w:tc>
          <w:tcPr/>
          <w:p>
            <w:pPr>
              <w:pStyle w:val="Compact"/>
              <w:jc w:val="left"/>
            </w:pPr>
            <w:r>
              <w:t xml:space="preserve">3039 (11.6)</w:t>
            </w:r>
          </w:p>
        </w:tc>
        <w:tc>
          <w:tcPr/>
          <w:p>
            <w:pPr>
              <w:pStyle w:val="Compact"/>
              <w:jc w:val="left"/>
            </w:pPr>
            <w:r>
              <w:t xml:space="preserve">&lt;0.001</w:t>
            </w:r>
          </w:p>
        </w:tc>
        <w:tc>
          <w:tcPr/>
          <w:p>
            <w:pPr>
              <w:pStyle w:val="Compact"/>
              <w:jc w:val="left"/>
            </w:pPr>
            <w:r>
              <w:t xml:space="preserve">NA</w:t>
            </w:r>
          </w:p>
        </w:tc>
      </w:tr>
      <w:tr>
        <w:tc>
          <w:tcPr/>
          <w:p>
            <w:pPr>
              <w:pStyle w:val="Compact"/>
              <w:jc w:val="right"/>
            </w:pPr>
            <w:r>
              <w:t xml:space="preserve">24</w:t>
            </w:r>
          </w:p>
        </w:tc>
        <w:tc>
          <w:tcPr/>
          <w:p>
            <w:pPr>
              <w:pStyle w:val="Compact"/>
              <w:jc w:val="left"/>
            </w:pPr>
            <w:r>
              <w:t xml:space="preserve">X.16</w:t>
            </w:r>
          </w:p>
        </w:tc>
        <w:tc>
          <w:tcPr/>
          <w:p>
            <w:pPr>
              <w:pStyle w:val="Compact"/>
              <w:jc w:val="left"/>
            </w:pPr>
            <w:r>
              <w:t xml:space="preserve">Urban</w:t>
            </w:r>
          </w:p>
        </w:tc>
        <w:tc>
          <w:tcPr/>
          <w:p>
            <w:pPr>
              <w:pStyle w:val="Compact"/>
              <w:jc w:val="left"/>
            </w:pPr>
            <w:r>
              <w:t xml:space="preserve">78119 (87.1)</w:t>
            </w:r>
          </w:p>
        </w:tc>
        <w:tc>
          <w:tcPr/>
          <w:p>
            <w:pPr>
              <w:pStyle w:val="Compact"/>
              <w:jc w:val="left"/>
            </w:pPr>
            <w:r>
              <w:t xml:space="preserve">8268 (80.5)</w:t>
            </w:r>
          </w:p>
        </w:tc>
        <w:tc>
          <w:tcPr/>
          <w:p>
            <w:pPr>
              <w:pStyle w:val="Compact"/>
              <w:jc w:val="left"/>
            </w:pPr>
            <w:r>
              <w:t xml:space="preserve">13465 (95.7)</w:t>
            </w:r>
          </w:p>
        </w:tc>
        <w:tc>
          <w:tcPr/>
          <w:p>
            <w:pPr>
              <w:pStyle w:val="Compact"/>
              <w:jc w:val="left"/>
            </w:pPr>
            <w:r>
              <w:t xml:space="preserve">33121 (84.8)</w:t>
            </w:r>
          </w:p>
        </w:tc>
        <w:tc>
          <w:tcPr/>
          <w:p>
            <w:pPr>
              <w:pStyle w:val="Compact"/>
              <w:jc w:val="left"/>
            </w:pPr>
            <w:r>
              <w:t xml:space="preserve">23265 (88.4)</w:t>
            </w:r>
          </w:p>
        </w:tc>
        <w:tc>
          <w:tcPr/>
          <w:p>
            <w:pPr>
              <w:pStyle w:val="Compact"/>
            </w:pPr>
          </w:p>
        </w:tc>
        <w:tc>
          <w:tcPr/>
          <w:p>
            <w:pPr>
              <w:pStyle w:val="Compact"/>
              <w:jc w:val="left"/>
            </w:pPr>
            <w:r>
              <w:t xml:space="preserve">NA</w:t>
            </w:r>
          </w:p>
        </w:tc>
      </w:tr>
    </w:tbl>
    <w:bookmarkEnd w:id="150"/>
    <w:p>
      <w:pPr>
        <w:jc w:val="center"/>
        <w:pStyle w:val="Figure"/>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140"/>
                    <a:stretch>
                      <a:fillRect/>
                    </a:stretch>
                  </pic:blipFill>
                  <pic:spPr bwMode="auto">
                    <a:xfrm>
                      <a:off x="0" y="0"/>
                      <a:ext cx="76200" cy="50800"/>
                    </a:xfrm>
                    <a:prstGeom prst="rect">
                      <a:avLst/>
                    </a:prstGeom>
                    <a:noFill/>
                  </pic:spPr>
                </pic:pic>
              </a:graphicData>
            </a:graphic>
          </wp:inline>
        </w:drawing>
      </w:r>
    </w:p>
    <w:p>
      <w:pPr>
        <w:pStyle w:stlname="Table Caption" w:val="TableCaption"/>
      </w:pPr>
      <w:bookmarkStart w:id="52c41531-d5ad-411a-9998-3f7cbbf74de1" w:name="f-sample"/>
      <w:r>
        <w:rPr>
          <w:rFonts w:ascii="Arial" w:hAnsi="Arial" w:eastAsia="Arial" w:cs="Arial"/>
          <w:i w:val="false"/>
          <w:b w:val="true"/>
          <w:u w:val="single"/>
          <w:sz w:val="20"/>
          <w:szCs w:val="20"/>
          <w:color w:val="000000"/>
        </w:rPr>
        <w:t xml:space="preserve">Table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tabS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52c41531-d5ad-411a-9998-3f7cbbf74de1"/>
      <w:r>
        <w:rPr>
          <w:rFonts w:ascii="Arial" w:hAnsi="Arial" w:eastAsia="Arial" w:cs="Arial"/>
          <w:i w:val="false"/>
          <w:b w:val="true"/>
          <w:u w:val="single"/>
          <w:sz w:val="20"/>
          <w:szCs w:val="20"/>
          <w:color w:val="000000"/>
        </w:rPr>
        <w:t xml:space="preserve">: </w:t>
      </w:r>
      <w:r>
        <w:t xml:space="preserve">Tableone of Pre-Delta</w:t>
      </w:r>
    </w:p>
    <w:p>
      <w:pPr>
        <w:jc w:val="center"/>
        <w:pStyle w:val="Figure"/>
      </w:pPr>
      <w:r>
        <w:rPr/>
        <w:drawing>
          <wp:inline distT="0" distB="0" distL="0" distR="0">
            <wp:extent cx="54864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141"/>
                    <a:stretch>
                      <a:fillRect/>
                    </a:stretch>
                  </pic:blipFill>
                  <pic:spPr bwMode="auto">
                    <a:xfrm>
                      <a:off x="0" y="0"/>
                      <a:ext cx="76200" cy="50800"/>
                    </a:xfrm>
                    <a:prstGeom prst="rect">
                      <a:avLst/>
                    </a:prstGeom>
                    <a:noFill/>
                  </pic:spPr>
                </pic:pic>
              </a:graphicData>
            </a:graphic>
          </wp:inline>
        </w:drawing>
      </w:r>
    </w:p>
    <w:p>
      <w:pPr>
        <w:pStyle w:stlname="Table Caption" w:val="TableCaption"/>
      </w:pPr>
      <w:bookmarkStart w:id="a36d4a1a-a6da-41e5-877e-87859d0b4237" w:name="f-sample"/>
      <w:r>
        <w:rPr>
          <w:rFonts w:ascii="Arial" w:hAnsi="Arial" w:eastAsia="Arial" w:cs="Arial"/>
          <w:i w:val="false"/>
          <w:b w:val="true"/>
          <w:u w:val="single"/>
          <w:sz w:val="20"/>
          <w:szCs w:val="20"/>
          <w:color w:val="000000"/>
        </w:rPr>
        <w:t xml:space="preserve">Table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tabS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a36d4a1a-a6da-41e5-877e-87859d0b4237"/>
      <w:r>
        <w:rPr>
          <w:rFonts w:ascii="Arial" w:hAnsi="Arial" w:eastAsia="Arial" w:cs="Arial"/>
          <w:i w:val="false"/>
          <w:b w:val="true"/>
          <w:u w:val="single"/>
          <w:sz w:val="20"/>
          <w:szCs w:val="20"/>
          <w:color w:val="000000"/>
        </w:rPr>
        <w:t xml:space="preserve">: </w:t>
      </w:r>
      <w:r>
        <w:t xml:space="preserve">Tableone of Delta</w:t>
      </w:r>
    </w:p>
    <w:p>
      <w:pPr>
        <w:jc w:val="center"/>
        <w:pStyle w:val="Figure"/>
      </w:pPr>
      <w:r>
        <w:rPr/>
        <w:drawing>
          <wp:inline distT="0" distB="0" distL="0" distR="0">
            <wp:extent cx="54864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142"/>
                    <a:stretch>
                      <a:fillRect/>
                    </a:stretch>
                  </pic:blipFill>
                  <pic:spPr bwMode="auto">
                    <a:xfrm>
                      <a:off x="0" y="0"/>
                      <a:ext cx="76200" cy="50800"/>
                    </a:xfrm>
                    <a:prstGeom prst="rect">
                      <a:avLst/>
                    </a:prstGeom>
                    <a:noFill/>
                  </pic:spPr>
                </pic:pic>
              </a:graphicData>
            </a:graphic>
          </wp:inline>
        </w:drawing>
      </w:r>
    </w:p>
    <w:p>
      <w:pPr>
        <w:pStyle w:stlname="Table Caption" w:val="TableCaption"/>
      </w:pPr>
      <w:bookmarkStart w:id="5581e175-a3c5-413c-8540-57c075fe918b" w:name="f-sample"/>
      <w:r>
        <w:rPr>
          <w:rFonts w:ascii="Arial" w:hAnsi="Arial" w:eastAsia="Arial" w:cs="Arial"/>
          <w:i w:val="false"/>
          <w:b w:val="true"/>
          <w:u w:val="single"/>
          <w:sz w:val="20"/>
          <w:szCs w:val="20"/>
          <w:color w:val="000000"/>
        </w:rPr>
        <w:t xml:space="preserve">Table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tabS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5581e175-a3c5-413c-8540-57c075fe918b"/>
      <w:r>
        <w:rPr>
          <w:rFonts w:ascii="Arial" w:hAnsi="Arial" w:eastAsia="Arial" w:cs="Arial"/>
          <w:i w:val="false"/>
          <w:b w:val="true"/>
          <w:u w:val="single"/>
          <w:sz w:val="20"/>
          <w:szCs w:val="20"/>
          <w:color w:val="000000"/>
        </w:rPr>
        <w:t xml:space="preserve">: </w:t>
      </w:r>
      <w:r>
        <w:t xml:space="preserve">Tableone of Omicron</w:t>
      </w:r>
    </w:p>
    <w:p>
      <w:pPr>
        <w:pStyle w:val="BodyText"/>
      </w:pPr>
      <w:r>
        <w:t xml:space="preserve">level</w:t>
      </w:r>
    </w:p>
    <w:p>
      <w:pPr>
        <w:pStyle w:val="BodyText"/>
      </w:pPr>
      <w:r>
        <w:t xml:space="preserve">Overall</w:t>
      </w:r>
    </w:p>
    <w:p>
      <w:pPr>
        <w:pStyle w:val="BodyText"/>
      </w:pPr>
      <w:r>
        <w:t xml:space="preserve">Atlantic</w:t>
      </w:r>
    </w:p>
    <w:p>
      <w:pPr>
        <w:pStyle w:val="BodyText"/>
      </w:pPr>
      <w:r>
        <w:t xml:space="preserve">BC</w:t>
      </w:r>
    </w:p>
    <w:p>
      <w:pPr>
        <w:pStyle w:val="BodyText"/>
      </w:pPr>
      <w:r>
        <w:t xml:space="preserve">Ontario</w:t>
      </w:r>
    </w:p>
    <w:p>
      <w:pPr>
        <w:pStyle w:val="BodyText"/>
      </w:pPr>
      <w:r>
        <w:t xml:space="preserve">Prairies</w:t>
      </w:r>
    </w:p>
    <w:p>
      <w:pPr>
        <w:pStyle w:val="BodyText"/>
      </w:pPr>
      <w:r>
        <w:t xml:space="preserve">n</w:t>
      </w:r>
    </w:p>
    <w:p>
      <w:pPr>
        <w:pStyle w:val="BodyText"/>
      </w:pPr>
      <w:r>
        <w:t xml:space="preserve">420319</w:t>
      </w:r>
    </w:p>
    <w:p>
      <w:pPr>
        <w:pStyle w:val="BodyText"/>
      </w:pPr>
      <w:r>
        <w:t xml:space="preserve">43998</w:t>
      </w:r>
    </w:p>
    <w:p>
      <w:pPr>
        <w:pStyle w:val="BodyText"/>
      </w:pPr>
      <w:r>
        <w:t xml:space="preserve">67592</w:t>
      </w:r>
    </w:p>
    <w:p>
      <w:pPr>
        <w:pStyle w:val="BodyText"/>
      </w:pPr>
      <w:r>
        <w:t xml:space="preserve">186745</w:t>
      </w:r>
    </w:p>
    <w:p>
      <w:pPr>
        <w:pStyle w:val="BodyText"/>
      </w:pPr>
      <w:r>
        <w:t xml:space="preserve">121984</w:t>
      </w:r>
    </w:p>
    <w:p>
      <w:pPr>
        <w:pStyle w:val="BodyText"/>
      </w:pPr>
      <w:r>
        <w:t xml:space="preserve">Sex (%)</w:t>
      </w:r>
    </w:p>
    <w:p>
      <w:pPr>
        <w:pStyle w:val="BodyText"/>
      </w:pPr>
      <w:r>
        <w:t xml:space="preserve">Female</w:t>
      </w:r>
    </w:p>
    <w:p>
      <w:pPr>
        <w:pStyle w:val="BodyText"/>
      </w:pPr>
      <w:r>
        <w:t xml:space="preserve">180859 (43.0)</w:t>
      </w:r>
    </w:p>
    <w:p>
      <w:pPr>
        <w:pStyle w:val="BodyText"/>
      </w:pPr>
      <w:r>
        <w:t xml:space="preserve">19597 (44.5)</w:t>
      </w:r>
    </w:p>
    <w:p>
      <w:pPr>
        <w:pStyle w:val="BodyText"/>
      </w:pPr>
      <w:r>
        <w:t xml:space="preserve">29589 (43.8)</w:t>
      </w:r>
    </w:p>
    <w:p>
      <w:pPr>
        <w:pStyle w:val="BodyText"/>
      </w:pPr>
      <w:r>
        <w:t xml:space="preserve">80351 (43.0)</w:t>
      </w:r>
    </w:p>
    <w:p>
      <w:pPr>
        <w:pStyle w:val="BodyText"/>
      </w:pPr>
      <w:r>
        <w:t xml:space="preserve">51322 (42.1)</w:t>
      </w:r>
    </w:p>
    <w:p>
      <w:pPr>
        <w:pStyle w:val="BodyText"/>
      </w:pPr>
      <w:r>
        <w:t xml:space="preserve">Male</w:t>
      </w:r>
    </w:p>
    <w:p>
      <w:pPr>
        <w:pStyle w:val="BodyText"/>
      </w:pPr>
      <w:r>
        <w:t xml:space="preserve">239460 (57.0)</w:t>
      </w:r>
    </w:p>
    <w:p>
      <w:pPr>
        <w:pStyle w:val="BodyText"/>
      </w:pPr>
      <w:r>
        <w:t xml:space="preserve">24401 (55.5)</w:t>
      </w:r>
    </w:p>
    <w:p>
      <w:pPr>
        <w:pStyle w:val="BodyText"/>
      </w:pPr>
      <w:r>
        <w:t xml:space="preserve">38003 (56.2)</w:t>
      </w:r>
    </w:p>
    <w:p>
      <w:pPr>
        <w:pStyle w:val="BodyText"/>
      </w:pPr>
      <w:r>
        <w:t xml:space="preserve">106394 (57.0)</w:t>
      </w:r>
    </w:p>
    <w:p>
      <w:pPr>
        <w:pStyle w:val="BodyText"/>
      </w:pPr>
      <w:r>
        <w:t xml:space="preserve">70662 (57.9)</w:t>
      </w:r>
    </w:p>
    <w:p>
      <w:pPr>
        <w:pStyle w:val="BodyText"/>
      </w:pPr>
      <w:r>
        <w:t xml:space="preserve">Age Group (%)</w:t>
      </w:r>
    </w:p>
    <w:p>
      <w:pPr>
        <w:pStyle w:val="BodyText"/>
      </w:pPr>
      <w:r>
        <w:t xml:space="preserve">16-24</w:t>
      </w:r>
    </w:p>
    <w:p>
      <w:pPr>
        <w:pStyle w:val="BodyText"/>
      </w:pPr>
      <w:r>
        <w:t xml:space="preserve">31983 ( 7.6)</w:t>
      </w:r>
    </w:p>
    <w:p>
      <w:pPr>
        <w:pStyle w:val="BodyText"/>
      </w:pPr>
      <w:r>
        <w:t xml:space="preserve">2806 ( 6.4)</w:t>
      </w:r>
    </w:p>
    <w:p>
      <w:pPr>
        <w:pStyle w:val="BodyText"/>
      </w:pPr>
      <w:r>
        <w:t xml:space="preserve">4639 ( 6.9)</w:t>
      </w:r>
    </w:p>
    <w:p>
      <w:pPr>
        <w:pStyle w:val="BodyText"/>
      </w:pPr>
      <w:r>
        <w:t xml:space="preserve">14487 ( 7.8)</w:t>
      </w:r>
    </w:p>
    <w:p>
      <w:pPr>
        <w:pStyle w:val="BodyText"/>
      </w:pPr>
      <w:r>
        <w:t xml:space="preserve">10051 ( 8.2)</w:t>
      </w:r>
    </w:p>
    <w:p>
      <w:pPr>
        <w:pStyle w:val="BodyText"/>
      </w:pPr>
      <w:r>
        <w:t xml:space="preserve">25-34</w:t>
      </w:r>
    </w:p>
    <w:p>
      <w:pPr>
        <w:pStyle w:val="BodyText"/>
      </w:pPr>
      <w:r>
        <w:t xml:space="preserve">73564 (17.5)</w:t>
      </w:r>
    </w:p>
    <w:p>
      <w:pPr>
        <w:pStyle w:val="BodyText"/>
      </w:pPr>
      <w:r>
        <w:t xml:space="preserve">6286 (14.3)</w:t>
      </w:r>
    </w:p>
    <w:p>
      <w:pPr>
        <w:pStyle w:val="BodyText"/>
      </w:pPr>
      <w:r>
        <w:t xml:space="preserve">12525 (18.5)</w:t>
      </w:r>
    </w:p>
    <w:p>
      <w:pPr>
        <w:pStyle w:val="BodyText"/>
      </w:pPr>
      <w:r>
        <w:t xml:space="preserve">33502 (17.9)</w:t>
      </w:r>
    </w:p>
    <w:p>
      <w:pPr>
        <w:pStyle w:val="BodyText"/>
      </w:pPr>
      <w:r>
        <w:t xml:space="preserve">21251 (17.4)</w:t>
      </w:r>
    </w:p>
    <w:p>
      <w:pPr>
        <w:pStyle w:val="BodyText"/>
      </w:pPr>
      <w:r>
        <w:t xml:space="preserve">35-44</w:t>
      </w:r>
    </w:p>
    <w:p>
      <w:pPr>
        <w:pStyle w:val="BodyText"/>
      </w:pPr>
      <w:r>
        <w:t xml:space="preserve">71834 (17.1)</w:t>
      </w:r>
    </w:p>
    <w:p>
      <w:pPr>
        <w:pStyle w:val="BodyText"/>
      </w:pPr>
      <w:r>
        <w:t xml:space="preserve">6675 (15.2)</w:t>
      </w:r>
    </w:p>
    <w:p>
      <w:pPr>
        <w:pStyle w:val="BodyText"/>
      </w:pPr>
      <w:r>
        <w:t xml:space="preserve">11993 (17.7)</w:t>
      </w:r>
    </w:p>
    <w:p>
      <w:pPr>
        <w:pStyle w:val="BodyText"/>
      </w:pPr>
      <w:r>
        <w:t xml:space="preserve">31312 (16.8)</w:t>
      </w:r>
    </w:p>
    <w:p>
      <w:pPr>
        <w:pStyle w:val="BodyText"/>
      </w:pPr>
      <w:r>
        <w:t xml:space="preserve">21854 (17.9)</w:t>
      </w:r>
    </w:p>
    <w:p>
      <w:pPr>
        <w:pStyle w:val="BodyText"/>
      </w:pPr>
      <w:r>
        <w:t xml:space="preserve">45-54</w:t>
      </w:r>
    </w:p>
    <w:p>
      <w:pPr>
        <w:pStyle w:val="BodyText"/>
      </w:pPr>
      <w:r>
        <w:t xml:space="preserve">73694 (17.5)</w:t>
      </w:r>
    </w:p>
    <w:p>
      <w:pPr>
        <w:pStyle w:val="BodyText"/>
      </w:pPr>
      <w:r>
        <w:t xml:space="preserve">7959 (18.1)</w:t>
      </w:r>
    </w:p>
    <w:p>
      <w:pPr>
        <w:pStyle w:val="BodyText"/>
      </w:pPr>
      <w:r>
        <w:t xml:space="preserve">11487 (17.0)</w:t>
      </w:r>
    </w:p>
    <w:p>
      <w:pPr>
        <w:pStyle w:val="BodyText"/>
      </w:pPr>
      <w:r>
        <w:t xml:space="preserve">33900 (18.2)</w:t>
      </w:r>
    </w:p>
    <w:p>
      <w:pPr>
        <w:pStyle w:val="BodyText"/>
      </w:pPr>
      <w:r>
        <w:t xml:space="preserve">20348 (16.7)</w:t>
      </w:r>
    </w:p>
    <w:p>
      <w:pPr>
        <w:pStyle w:val="BodyText"/>
      </w:pPr>
      <w:r>
        <w:t xml:space="preserve">55-64</w:t>
      </w:r>
    </w:p>
    <w:p>
      <w:pPr>
        <w:pStyle w:val="BodyText"/>
      </w:pPr>
      <w:r>
        <w:t xml:space="preserve">96046 (22.9)</w:t>
      </w:r>
    </w:p>
    <w:p>
      <w:pPr>
        <w:pStyle w:val="BodyText"/>
      </w:pPr>
      <w:r>
        <w:t xml:space="preserve">11227 (25.5)</w:t>
      </w:r>
    </w:p>
    <w:p>
      <w:pPr>
        <w:pStyle w:val="BodyText"/>
      </w:pPr>
      <w:r>
        <w:t xml:space="preserve">14468 (21.4)</w:t>
      </w:r>
    </w:p>
    <w:p>
      <w:pPr>
        <w:pStyle w:val="BodyText"/>
      </w:pPr>
      <w:r>
        <w:t xml:space="preserve">42938 (23.0)</w:t>
      </w:r>
    </w:p>
    <w:p>
      <w:pPr>
        <w:pStyle w:val="BodyText"/>
      </w:pPr>
      <w:r>
        <w:t xml:space="preserve">27413 (22.5)</w:t>
      </w:r>
    </w:p>
    <w:p>
      <w:pPr>
        <w:pStyle w:val="BodyText"/>
      </w:pPr>
      <w:r>
        <w:t xml:space="preserve">65-74</w:t>
      </w:r>
    </w:p>
    <w:p>
      <w:pPr>
        <w:pStyle w:val="BodyText"/>
      </w:pPr>
      <w:r>
        <w:t xml:space="preserve">62027 (14.8)</w:t>
      </w:r>
    </w:p>
    <w:p>
      <w:pPr>
        <w:pStyle w:val="BodyText"/>
      </w:pPr>
      <w:r>
        <w:t xml:space="preserve">7616 (17.3)</w:t>
      </w:r>
    </w:p>
    <w:p>
      <w:pPr>
        <w:pStyle w:val="BodyText"/>
      </w:pPr>
      <w:r>
        <w:t xml:space="preserve">10294 (15.2)</w:t>
      </w:r>
    </w:p>
    <w:p>
      <w:pPr>
        <w:pStyle w:val="BodyText"/>
      </w:pPr>
      <w:r>
        <w:t xml:space="preserve">26090 (14.0)</w:t>
      </w:r>
    </w:p>
    <w:p>
      <w:pPr>
        <w:pStyle w:val="BodyText"/>
      </w:pPr>
      <w:r>
        <w:t xml:space="preserve">18027 (14.8)</w:t>
      </w:r>
    </w:p>
    <w:p>
      <w:pPr>
        <w:pStyle w:val="BodyText"/>
      </w:pPr>
      <w:r>
        <w:t xml:space="preserve">75+</w:t>
      </w:r>
    </w:p>
    <w:p>
      <w:pPr>
        <w:pStyle w:val="BodyText"/>
      </w:pPr>
      <w:r>
        <w:t xml:space="preserve">11171 ( 2.7)</w:t>
      </w:r>
    </w:p>
    <w:p>
      <w:pPr>
        <w:pStyle w:val="BodyText"/>
      </w:pPr>
      <w:r>
        <w:t xml:space="preserve">1429 ( 3.2)</w:t>
      </w:r>
    </w:p>
    <w:p>
      <w:pPr>
        <w:pStyle w:val="BodyText"/>
      </w:pPr>
      <w:r>
        <w:t xml:space="preserve">2186 ( 3.2)</w:t>
      </w:r>
    </w:p>
    <w:p>
      <w:pPr>
        <w:pStyle w:val="BodyText"/>
      </w:pPr>
      <w:r>
        <w:t xml:space="preserve">4516 ( 2.4)</w:t>
      </w:r>
    </w:p>
    <w:p>
      <w:pPr>
        <w:pStyle w:val="BodyText"/>
      </w:pPr>
      <w:r>
        <w:t xml:space="preserve">3040 ( 2.5)</w:t>
      </w:r>
    </w:p>
    <w:p>
      <w:pPr>
        <w:pStyle w:val="BodyText"/>
      </w:pPr>
      <w:r>
        <w:t xml:space="preserve">Race (%)</w:t>
      </w:r>
    </w:p>
    <w:p>
      <w:pPr>
        <w:pStyle w:val="BodyText"/>
      </w:pPr>
      <w:r>
        <w:t xml:space="preserve">Minority</w:t>
      </w:r>
    </w:p>
    <w:p>
      <w:pPr>
        <w:pStyle w:val="BodyText"/>
      </w:pPr>
      <w:r>
        <w:t xml:space="preserve">70935 (16.9)</w:t>
      </w:r>
    </w:p>
    <w:p>
      <w:pPr>
        <w:pStyle w:val="BodyText"/>
      </w:pPr>
      <w:r>
        <w:t xml:space="preserve">2881 ( 6.5)</w:t>
      </w:r>
    </w:p>
    <w:p>
      <w:pPr>
        <w:pStyle w:val="BodyText"/>
      </w:pPr>
      <w:r>
        <w:t xml:space="preserve">16453 (24.3)</w:t>
      </w:r>
    </w:p>
    <w:p>
      <w:pPr>
        <w:pStyle w:val="BodyText"/>
      </w:pPr>
      <w:r>
        <w:t xml:space="preserve">33163 (17.8)</w:t>
      </w:r>
    </w:p>
    <w:p>
      <w:pPr>
        <w:pStyle w:val="BodyText"/>
      </w:pPr>
      <w:r>
        <w:t xml:space="preserve">18438 (15.1)</w:t>
      </w:r>
    </w:p>
    <w:p>
      <w:pPr>
        <w:pStyle w:val="BodyText"/>
      </w:pPr>
      <w:r>
        <w:t xml:space="preserve">White</w:t>
      </w:r>
    </w:p>
    <w:p>
      <w:pPr>
        <w:pStyle w:val="BodyText"/>
      </w:pPr>
      <w:r>
        <w:t xml:space="preserve">349384 (83.1)</w:t>
      </w:r>
    </w:p>
    <w:p>
      <w:pPr>
        <w:pStyle w:val="BodyText"/>
      </w:pPr>
      <w:r>
        <w:t xml:space="preserve">41117 (93.5)</w:t>
      </w:r>
    </w:p>
    <w:p>
      <w:pPr>
        <w:pStyle w:val="BodyText"/>
      </w:pPr>
      <w:r>
        <w:t xml:space="preserve">51139 (75.7)</w:t>
      </w:r>
    </w:p>
    <w:p>
      <w:pPr>
        <w:pStyle w:val="BodyText"/>
      </w:pPr>
      <w:r>
        <w:t xml:space="preserve">153582 (82.2)</w:t>
      </w:r>
    </w:p>
    <w:p>
      <w:pPr>
        <w:pStyle w:val="BodyText"/>
      </w:pPr>
      <w:r>
        <w:t xml:space="preserve">103546 (84.9)</w:t>
      </w:r>
    </w:p>
    <w:p>
      <w:pPr>
        <w:pStyle w:val="BodyText"/>
      </w:pPr>
      <w:r>
        <w:t xml:space="preserve">Social Deprivation Quintile (%)</w:t>
      </w:r>
    </w:p>
    <w:p>
      <w:pPr>
        <w:pStyle w:val="BodyText"/>
      </w:pPr>
      <w:r>
        <w:t xml:space="preserve">1</w:t>
      </w:r>
    </w:p>
    <w:p>
      <w:pPr>
        <w:pStyle w:val="BodyText"/>
      </w:pPr>
      <w:r>
        <w:t xml:space="preserve">89390 (21.3)</w:t>
      </w:r>
    </w:p>
    <w:p>
      <w:pPr>
        <w:pStyle w:val="BodyText"/>
      </w:pPr>
      <w:r>
        <w:t xml:space="preserve">5466 (12.4)</w:t>
      </w:r>
    </w:p>
    <w:p>
      <w:pPr>
        <w:pStyle w:val="BodyText"/>
      </w:pPr>
      <w:r>
        <w:t xml:space="preserve">12859 (19.0)</w:t>
      </w:r>
    </w:p>
    <w:p>
      <w:pPr>
        <w:pStyle w:val="BodyText"/>
      </w:pPr>
      <w:r>
        <w:t xml:space="preserve">43248 (23.2)</w:t>
      </w:r>
    </w:p>
    <w:p>
      <w:pPr>
        <w:pStyle w:val="BodyText"/>
      </w:pPr>
      <w:r>
        <w:t xml:space="preserve">27817 (22.8)</w:t>
      </w:r>
    </w:p>
    <w:p>
      <w:pPr>
        <w:pStyle w:val="BodyText"/>
      </w:pPr>
      <w:r>
        <w:t xml:space="preserve">2</w:t>
      </w:r>
    </w:p>
    <w:p>
      <w:pPr>
        <w:pStyle w:val="BodyText"/>
      </w:pPr>
      <w:r>
        <w:t xml:space="preserve">89168 (21.2)</w:t>
      </w:r>
    </w:p>
    <w:p>
      <w:pPr>
        <w:pStyle w:val="BodyText"/>
      </w:pPr>
      <w:r>
        <w:t xml:space="preserve">10818 (24.6)</w:t>
      </w:r>
    </w:p>
    <w:p>
      <w:pPr>
        <w:pStyle w:val="BodyText"/>
      </w:pPr>
      <w:r>
        <w:t xml:space="preserve">14473 (21.4)</w:t>
      </w:r>
    </w:p>
    <w:p>
      <w:pPr>
        <w:pStyle w:val="BodyText"/>
      </w:pPr>
      <w:r>
        <w:t xml:space="preserve">41603 (22.3)</w:t>
      </w:r>
    </w:p>
    <w:p>
      <w:pPr>
        <w:pStyle w:val="BodyText"/>
      </w:pPr>
      <w:r>
        <w:t xml:space="preserve">22274 (18.3)</w:t>
      </w:r>
    </w:p>
    <w:p>
      <w:pPr>
        <w:pStyle w:val="BodyText"/>
      </w:pPr>
      <w:r>
        <w:t xml:space="preserve">3</w:t>
      </w:r>
    </w:p>
    <w:p>
      <w:pPr>
        <w:pStyle w:val="BodyText"/>
      </w:pPr>
      <w:r>
        <w:t xml:space="preserve">84219 (20.0)</w:t>
      </w:r>
    </w:p>
    <w:p>
      <w:pPr>
        <w:pStyle w:val="BodyText"/>
      </w:pPr>
      <w:r>
        <w:t xml:space="preserve">11380 (25.9)</w:t>
      </w:r>
    </w:p>
    <w:p>
      <w:pPr>
        <w:pStyle w:val="BodyText"/>
      </w:pPr>
      <w:r>
        <w:t xml:space="preserve">13149 (19.5)</w:t>
      </w:r>
    </w:p>
    <w:p>
      <w:pPr>
        <w:pStyle w:val="BodyText"/>
      </w:pPr>
      <w:r>
        <w:t xml:space="preserve">36019 (19.3)</w:t>
      </w:r>
    </w:p>
    <w:p>
      <w:pPr>
        <w:pStyle w:val="BodyText"/>
      </w:pPr>
      <w:r>
        <w:t xml:space="preserve">23671 (19.4)</w:t>
      </w:r>
    </w:p>
    <w:p>
      <w:pPr>
        <w:pStyle w:val="BodyText"/>
      </w:pPr>
      <w:r>
        <w:t xml:space="preserve">4</w:t>
      </w:r>
    </w:p>
    <w:p>
      <w:pPr>
        <w:pStyle w:val="BodyText"/>
      </w:pPr>
      <w:r>
        <w:t xml:space="preserve">78222 (18.6)</w:t>
      </w:r>
    </w:p>
    <w:p>
      <w:pPr>
        <w:pStyle w:val="BodyText"/>
      </w:pPr>
      <w:r>
        <w:t xml:space="preserve">9111 (20.7)</w:t>
      </w:r>
    </w:p>
    <w:p>
      <w:pPr>
        <w:pStyle w:val="BodyText"/>
      </w:pPr>
      <w:r>
        <w:t xml:space="preserve">11889 (17.6)</w:t>
      </w:r>
    </w:p>
    <w:p>
      <w:pPr>
        <w:pStyle w:val="BodyText"/>
      </w:pPr>
      <w:r>
        <w:t xml:space="preserve">32452 (17.4)</w:t>
      </w:r>
    </w:p>
    <w:p>
      <w:pPr>
        <w:pStyle w:val="BodyText"/>
      </w:pPr>
      <w:r>
        <w:t xml:space="preserve">24770 (20.3)</w:t>
      </w:r>
    </w:p>
    <w:p>
      <w:pPr>
        <w:pStyle w:val="BodyText"/>
      </w:pPr>
      <w:r>
        <w:t xml:space="preserve">5</w:t>
      </w:r>
    </w:p>
    <w:p>
      <w:pPr>
        <w:pStyle w:val="BodyText"/>
      </w:pPr>
      <w:r>
        <w:t xml:space="preserve">79320 (18.9)</w:t>
      </w:r>
    </w:p>
    <w:p>
      <w:pPr>
        <w:pStyle w:val="BodyText"/>
      </w:pPr>
      <w:r>
        <w:t xml:space="preserve">7223 (16.4)</w:t>
      </w:r>
    </w:p>
    <w:p>
      <w:pPr>
        <w:pStyle w:val="BodyText"/>
      </w:pPr>
      <w:r>
        <w:t xml:space="preserve">15222 (22.5)</w:t>
      </w:r>
    </w:p>
    <w:p>
      <w:pPr>
        <w:pStyle w:val="BodyText"/>
      </w:pPr>
      <w:r>
        <w:t xml:space="preserve">33423 (17.9)</w:t>
      </w:r>
    </w:p>
    <w:p>
      <w:pPr>
        <w:pStyle w:val="BodyText"/>
      </w:pPr>
      <w:r>
        <w:t xml:space="preserve">23452 (19.2)</w:t>
      </w:r>
    </w:p>
    <w:p>
      <w:pPr>
        <w:pStyle w:val="BodyText"/>
      </w:pPr>
      <w:r>
        <w:t xml:space="preserve">Material Deprivation Quintile (%)</w:t>
      </w:r>
    </w:p>
    <w:p>
      <w:pPr>
        <w:pStyle w:val="BodyText"/>
      </w:pPr>
      <w:r>
        <w:t xml:space="preserve">1</w:t>
      </w:r>
    </w:p>
    <w:p>
      <w:pPr>
        <w:pStyle w:val="BodyText"/>
      </w:pPr>
      <w:r>
        <w:t xml:space="preserve">126094 (30.0)</w:t>
      </w:r>
    </w:p>
    <w:p>
      <w:pPr>
        <w:pStyle w:val="BodyText"/>
      </w:pPr>
      <w:r>
        <w:t xml:space="preserve">7754 (17.6)</w:t>
      </w:r>
    </w:p>
    <w:p>
      <w:pPr>
        <w:pStyle w:val="BodyText"/>
      </w:pPr>
      <w:r>
        <w:t xml:space="preserve">19775 (29.3)</w:t>
      </w:r>
    </w:p>
    <w:p>
      <w:pPr>
        <w:pStyle w:val="BodyText"/>
      </w:pPr>
      <w:r>
        <w:t xml:space="preserve">49068 (26.3)</w:t>
      </w:r>
    </w:p>
    <w:p>
      <w:pPr>
        <w:pStyle w:val="BodyText"/>
      </w:pPr>
      <w:r>
        <w:t xml:space="preserve">49497 (40.6)</w:t>
      </w:r>
    </w:p>
    <w:p>
      <w:pPr>
        <w:pStyle w:val="BodyText"/>
      </w:pPr>
      <w:r>
        <w:t xml:space="preserve">2</w:t>
      </w:r>
    </w:p>
    <w:p>
      <w:pPr>
        <w:pStyle w:val="BodyText"/>
      </w:pPr>
      <w:r>
        <w:t xml:space="preserve">103314 (24.6)</w:t>
      </w:r>
    </w:p>
    <w:p>
      <w:pPr>
        <w:pStyle w:val="BodyText"/>
      </w:pPr>
      <w:r>
        <w:t xml:space="preserve">9821 (22.3)</w:t>
      </w:r>
    </w:p>
    <w:p>
      <w:pPr>
        <w:pStyle w:val="BodyText"/>
      </w:pPr>
      <w:r>
        <w:t xml:space="preserve">17959 (26.6)</w:t>
      </w:r>
    </w:p>
    <w:p>
      <w:pPr>
        <w:pStyle w:val="BodyText"/>
      </w:pPr>
      <w:r>
        <w:t xml:space="preserve">45895 (24.6)</w:t>
      </w:r>
    </w:p>
    <w:p>
      <w:pPr>
        <w:pStyle w:val="BodyText"/>
      </w:pPr>
      <w:r>
        <w:t xml:space="preserve">29639 (24.3)</w:t>
      </w:r>
    </w:p>
    <w:p>
      <w:pPr>
        <w:pStyle w:val="BodyText"/>
      </w:pPr>
      <w:r>
        <w:t xml:space="preserve">3</w:t>
      </w:r>
    </w:p>
    <w:p>
      <w:pPr>
        <w:pStyle w:val="BodyText"/>
      </w:pPr>
      <w:r>
        <w:t xml:space="preserve">85695 (20.4)</w:t>
      </w:r>
    </w:p>
    <w:p>
      <w:pPr>
        <w:pStyle w:val="BodyText"/>
      </w:pPr>
      <w:r>
        <w:t xml:space="preserve">9145 (20.8)</w:t>
      </w:r>
    </w:p>
    <w:p>
      <w:pPr>
        <w:pStyle w:val="BodyText"/>
      </w:pPr>
      <w:r>
        <w:t xml:space="preserve">13784 (20.4)</w:t>
      </w:r>
    </w:p>
    <w:p>
      <w:pPr>
        <w:pStyle w:val="BodyText"/>
      </w:pPr>
      <w:r>
        <w:t xml:space="preserve">41023 (22.0)</w:t>
      </w:r>
    </w:p>
    <w:p>
      <w:pPr>
        <w:pStyle w:val="BodyText"/>
      </w:pPr>
      <w:r>
        <w:t xml:space="preserve">21743 (17.8)</w:t>
      </w:r>
    </w:p>
    <w:p>
      <w:pPr>
        <w:pStyle w:val="BodyText"/>
      </w:pPr>
      <w:r>
        <w:t xml:space="preserve">4</w:t>
      </w:r>
    </w:p>
    <w:p>
      <w:pPr>
        <w:pStyle w:val="BodyText"/>
      </w:pPr>
      <w:r>
        <w:t xml:space="preserve">66536 (15.8)</w:t>
      </w:r>
    </w:p>
    <w:p>
      <w:pPr>
        <w:pStyle w:val="BodyText"/>
      </w:pPr>
      <w:r>
        <w:t xml:space="preserve">9930 (22.6)</w:t>
      </w:r>
    </w:p>
    <w:p>
      <w:pPr>
        <w:pStyle w:val="BodyText"/>
      </w:pPr>
      <w:r>
        <w:t xml:space="preserve">10251 (15.2)</w:t>
      </w:r>
    </w:p>
    <w:p>
      <w:pPr>
        <w:pStyle w:val="BodyText"/>
      </w:pPr>
      <w:r>
        <w:t xml:space="preserve">32068 (17.2)</w:t>
      </w:r>
    </w:p>
    <w:p>
      <w:pPr>
        <w:pStyle w:val="BodyText"/>
      </w:pPr>
      <w:r>
        <w:t xml:space="preserve">14287 (11.7)</w:t>
      </w:r>
    </w:p>
    <w:p>
      <w:pPr>
        <w:pStyle w:val="BodyText"/>
      </w:pPr>
      <w:r>
        <w:t xml:space="preserve">5</w:t>
      </w:r>
    </w:p>
    <w:p>
      <w:pPr>
        <w:pStyle w:val="BodyText"/>
      </w:pPr>
      <w:r>
        <w:t xml:space="preserve">38680 ( 9.2)</w:t>
      </w:r>
    </w:p>
    <w:p>
      <w:pPr>
        <w:pStyle w:val="BodyText"/>
      </w:pPr>
      <w:r>
        <w:t xml:space="preserve">7348 (16.7)</w:t>
      </w:r>
    </w:p>
    <w:p>
      <w:pPr>
        <w:pStyle w:val="BodyText"/>
      </w:pPr>
      <w:r>
        <w:t xml:space="preserve">5823 ( 8.6)</w:t>
      </w:r>
    </w:p>
    <w:p>
      <w:pPr>
        <w:pStyle w:val="BodyText"/>
      </w:pPr>
      <w:r>
        <w:t xml:space="preserve">18691 (10.0)</w:t>
      </w:r>
    </w:p>
    <w:p>
      <w:pPr>
        <w:pStyle w:val="BodyText"/>
      </w:pPr>
      <w:r>
        <w:t xml:space="preserve">6818 ( 5.6)</w:t>
      </w:r>
    </w:p>
    <w:p>
      <w:pPr>
        <w:pStyle w:val="BodyText"/>
      </w:pPr>
      <w:r>
        <w:t xml:space="preserve">Urban (%)</w:t>
      </w:r>
    </w:p>
    <w:p>
      <w:pPr>
        <w:pStyle w:val="BodyText"/>
      </w:pPr>
      <w:r>
        <w:t xml:space="preserve">Rural</w:t>
      </w:r>
    </w:p>
    <w:p>
      <w:pPr>
        <w:pStyle w:val="BodyText"/>
      </w:pPr>
      <w:r>
        <w:t xml:space="preserve">55623 (13.2)</w:t>
      </w:r>
    </w:p>
    <w:p>
      <w:pPr>
        <w:pStyle w:val="BodyText"/>
      </w:pPr>
      <w:r>
        <w:t xml:space="preserve">7805 (17.7)</w:t>
      </w:r>
    </w:p>
    <w:p>
      <w:pPr>
        <w:pStyle w:val="BodyText"/>
      </w:pPr>
      <w:r>
        <w:t xml:space="preserve">3117 ( 4.6)</w:t>
      </w:r>
    </w:p>
    <w:p>
      <w:pPr>
        <w:pStyle w:val="BodyText"/>
      </w:pPr>
      <w:r>
        <w:t xml:space="preserve">29851 (16.0)</w:t>
      </w:r>
    </w:p>
    <w:p>
      <w:pPr>
        <w:pStyle w:val="BodyText"/>
      </w:pPr>
      <w:r>
        <w:t xml:space="preserve">14850 (12.2)</w:t>
      </w:r>
    </w:p>
    <w:p>
      <w:pPr>
        <w:pStyle w:val="BodyText"/>
      </w:pPr>
      <w:r>
        <w:t xml:space="preserve">Urban</w:t>
      </w:r>
    </w:p>
    <w:p>
      <w:pPr>
        <w:pStyle w:val="BodyText"/>
      </w:pPr>
      <w:r>
        <w:t xml:space="preserve">364696 (86.8)</w:t>
      </w:r>
    </w:p>
    <w:p>
      <w:pPr>
        <w:pStyle w:val="BodyText"/>
      </w:pPr>
      <w:r>
        <w:t xml:space="preserve">36193 (82.3)</w:t>
      </w:r>
    </w:p>
    <w:p>
      <w:pPr>
        <w:pStyle w:val="BodyText"/>
      </w:pPr>
      <w:r>
        <w:t xml:space="preserve">64475 (95.4)</w:t>
      </w:r>
    </w:p>
    <w:p>
      <w:pPr>
        <w:pStyle w:val="BodyText"/>
      </w:pPr>
      <w:r>
        <w:t xml:space="preserve">156894 (84.0)</w:t>
      </w:r>
    </w:p>
    <w:p>
      <w:pPr>
        <w:pStyle w:val="BodyText"/>
      </w:pPr>
      <w:r>
        <w:t xml:space="preserve">107134 (87.8)</w:t>
      </w:r>
    </w:p>
    <w:p>
      <w:pPr>
        <w:pStyle w:stlname="Table Caption" w:val="TableCaption"/>
      </w:pPr>
      <w:bookmarkStart w:id="5fa185d8-5f43-4355-b86a-fea047e1d5e4" w:name="f-sample"/>
      <w:r>
        <w:rPr>
          <w:rFonts w:ascii="Arial" w:hAnsi="Arial" w:eastAsia="Arial" w:cs="Arial"/>
          <w:i w:val="false"/>
          <w:b w:val="true"/>
          <w:u w:val="single"/>
          <w:sz w:val="20"/>
          <w:szCs w:val="20"/>
          <w:color w:val="000000"/>
        </w:rPr>
        <w:t xml:space="preserve">Table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tabS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5fa185d8-5f43-4355-b86a-fea047e1d5e4"/>
      <w:r>
        <w:rPr>
          <w:rFonts w:ascii="Arial" w:hAnsi="Arial" w:eastAsia="Arial" w:cs="Arial"/>
          <w:i w:val="false"/>
          <w:b w:val="true"/>
          <w:u w:val="single"/>
          <w:sz w:val="20"/>
          <w:szCs w:val="20"/>
          <w:color w:val="000000"/>
        </w:rPr>
        <w:t xml:space="preserve">: </w:t>
      </w:r>
      <w:r>
        <w:t xml:space="preserve">Tableone</w:t>
      </w:r>
    </w:p>
    <w:bookmarkStart w:id="152" w:name="section-6"/>
    <w:p>
      <w:pPr>
        <w:pStyle w:val="Heading4"/>
      </w:pP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A</w:t>
            </w:r>
          </w:p>
        </w:tc>
        <w:tc>
          <w:tcPr/>
          <w:p>
            <w:pPr>
              <w:pStyle w:val="Compact"/>
              <w:jc w:val="left"/>
            </w:pPr>
            <w:r>
              <w:t xml:space="preserve">B</w:t>
            </w:r>
          </w:p>
        </w:tc>
      </w:tr>
      <w:tr>
        <w:tc>
          <w:tcPr/>
          <w:p>
            <w:pPr>
              <w:pStyle w:val="Compact"/>
              <w:jc w:val="left"/>
            </w:pPr>
            <w:r>
              <w:t xml:space="preserve">A</w:t>
            </w:r>
          </w:p>
        </w:tc>
        <w:tc>
          <w:tcPr/>
          <w:p>
            <w:pPr>
              <w:pStyle w:val="Compact"/>
              <w:jc w:val="left"/>
            </w:pPr>
            <w:r>
              <w:t xml:space="preserve">B</w:t>
            </w:r>
          </w:p>
        </w:tc>
      </w:tr>
    </w:tbl>
    <w:bookmarkStart w:id="151" w:name="section-7"/>
    <w:p>
      <w:pPr>
        <w:pStyle w:val="Heading5"/>
      </w:pPr>
    </w:p>
    <w:p>
      <w:pPr>
        <w:sectPr w:officer="true">
          <w:type w:val="continuous"/>
          <w:cols/>
          <w:pgSz w:h="15840" w:w="12240"/>
          <w:pgMar w:bottom="1440" w:footer="720" w:gutter="0" w:header="720" w:left="1440" w:right="1440" w:top="1440"/>
        </w:sectPr>
      </w:pPr>
    </w:p>
    <w:bookmarkEnd w:id="151"/>
    <w:bookmarkEnd w:id="152"/>
    <w:bookmarkEnd w:id="153"/>
    <w:bookmarkStart w:id="160" w:name="supplemental-figures"/>
    <w:p>
      <w:pPr>
        <w:pStyle w:val="Heading1"/>
      </w:pPr>
      <w:r>
        <w:t xml:space="preserve">Supplemental figures</w:t>
      </w:r>
    </w:p>
    <w:bookmarkStart w:id="154" w:name="Xc296fcb9f566cd0e7902bcf2310ccc1a6c10fce"/>
    <w:p>
      <w:pPr>
        <w:pStyle w:val="Heading2"/>
      </w:pPr>
      <w:r>
        <w:t xml:space="preserve">Coefficient estimation trend of material and social deprivation quintile</w:t>
      </w:r>
    </w:p>
    <w:p>
      <w:pPr>
        <w:jc w:val="center"/>
        <w:pStyle w:val="Figure"/>
      </w:pPr>
      <w:r>
        <w:rPr/>
        <w:drawing>
          <wp:inline distT="0" distB="0" distL="0" distR="0">
            <wp:extent cx="9144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143"/>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9b797690-eb01-43fc-a0d8-ea9bea6a21e8"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9b797690-eb01-43fc-a0d8-ea9bea6a21e8"/>
      <w:r>
        <w:rPr>
          <w:rFonts w:ascii="Arial" w:hAnsi="Arial" w:eastAsia="Arial" w:cs="Arial"/>
          <w:i w:val="false"/>
          <w:b w:val="true"/>
          <w:u w:val="single"/>
          <w:sz w:val="20"/>
          <w:szCs w:val="20"/>
          <w:color w:val="000000"/>
        </w:rPr>
        <w:t xml:space="preserve">: </w:t>
      </w:r>
      <w:r>
        <w:t xml:space="preserve">Coefficient estimation trend of material and social deprivation quintile</w:t>
      </w:r>
    </w:p>
    <w:bookmarkEnd w:id="154"/>
    <w:bookmarkStart w:id="155" w:name="X4a7c270d136a7f866e2c88c3a3a9326511c84e6"/>
    <w:p>
      <w:pPr>
        <w:pStyle w:val="Heading2"/>
      </w:pPr>
      <w:r>
        <w:t xml:space="preserve">Coefficient estimation trend of urban and age</w:t>
      </w:r>
    </w:p>
    <w:p>
      <w:pPr>
        <w:jc w:val="center"/>
        <w:pStyle w:val="Figure"/>
      </w:pPr>
      <w:r>
        <w:rPr/>
        <w:drawing>
          <wp:inline distT="0" distB="0" distL="0" distR="0">
            <wp:extent cx="9144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144"/>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6bd9ba19-9706-4e1e-9354-6e8396722530"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6bd9ba19-9706-4e1e-9354-6e8396722530"/>
      <w:r>
        <w:rPr>
          <w:rFonts w:ascii="Arial" w:hAnsi="Arial" w:eastAsia="Arial" w:cs="Arial"/>
          <w:i w:val="false"/>
          <w:b w:val="true"/>
          <w:u w:val="single"/>
          <w:sz w:val="20"/>
          <w:szCs w:val="20"/>
          <w:color w:val="000000"/>
        </w:rPr>
        <w:t xml:space="preserve">: </w:t>
      </w:r>
      <w:r>
        <w:t xml:space="preserve">Coefficient estimation trend of urban and age</w:t>
      </w:r>
    </w:p>
    <w:bookmarkEnd w:id="155"/>
    <w:bookmarkStart w:id="156" w:name="X84b1ae9fa89f45453e743cd0fa71b1d706cd336"/>
    <w:p>
      <w:pPr>
        <w:pStyle w:val="Heading2"/>
      </w:pPr>
      <w:r>
        <w:t xml:space="preserve">Coefficient estimation trend of race and sex</w:t>
      </w:r>
    </w:p>
    <w:p>
      <w:pPr>
        <w:jc w:val="center"/>
        <w:pStyle w:val="Figure"/>
      </w:pPr>
      <w:r>
        <w:rPr/>
        <w:drawing>
          <wp:inline distT="0" distB="0" distL="0" distR="0">
            <wp:extent cx="9144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145"/>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fc96e54b-1988-44cf-a0a3-06cda4ea594f"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fc96e54b-1988-44cf-a0a3-06cda4ea594f"/>
      <w:r>
        <w:rPr>
          <w:rFonts w:ascii="Arial" w:hAnsi="Arial" w:eastAsia="Arial" w:cs="Arial"/>
          <w:i w:val="false"/>
          <w:b w:val="true"/>
          <w:u w:val="single"/>
          <w:sz w:val="20"/>
          <w:szCs w:val="20"/>
          <w:color w:val="000000"/>
        </w:rPr>
        <w:t xml:space="preserve">: </w:t>
      </w:r>
      <w:r>
        <w:t xml:space="preserve">Coefficient estimation trend of race and sex</w:t>
      </w:r>
    </w:p>
    <w:p>
      <w:pPr>
        <w:jc w:val="center"/>
        <w:pStyle w:val="Figure"/>
      </w:pPr>
      <w:r>
        <w:rPr/>
        <w:drawing>
          <wp:inline distT="0" distB="0" distL="0" distR="0">
            <wp:extent cx="9144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146"/>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cdff8832-cfc5-454f-89be-81af1a1de2f5"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cdff8832-cfc5-454f-89be-81af1a1de2f5"/>
      <w:r>
        <w:rPr>
          <w:rFonts w:ascii="Arial" w:hAnsi="Arial" w:eastAsia="Arial" w:cs="Arial"/>
          <w:i w:val="false"/>
          <w:b w:val="true"/>
          <w:u w:val="single"/>
          <w:sz w:val="20"/>
          <w:szCs w:val="20"/>
          <w:color w:val="000000"/>
        </w:rPr>
        <w:t xml:space="preserve">: </w:t>
      </w:r>
      <w:r>
        <w:t xml:space="preserve">Coefficient estimation trend of material and social deprivation quintile</w:t>
      </w:r>
    </w:p>
    <w:p>
      <w:pPr>
        <w:jc w:val="center"/>
        <w:pStyle w:val="Figure"/>
      </w:pPr>
      <w:r>
        <w:rPr/>
        <w:drawing>
          <wp:inline distT="0" distB="0" distL="0" distR="0">
            <wp:extent cx="9144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147"/>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c99612df-ffcf-452f-a22b-f9e5436d83fc"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c99612df-ffcf-452f-a22b-f9e5436d83fc"/>
      <w:r>
        <w:rPr>
          <w:rFonts w:ascii="Arial" w:hAnsi="Arial" w:eastAsia="Arial" w:cs="Arial"/>
          <w:i w:val="false"/>
          <w:b w:val="true"/>
          <w:u w:val="single"/>
          <w:sz w:val="20"/>
          <w:szCs w:val="20"/>
          <w:color w:val="000000"/>
        </w:rPr>
        <w:t xml:space="preserve">: </w:t>
      </w:r>
      <w:r>
        <w:t xml:space="preserve">Coefficient estimation trend of material and social deprivation quintile</w:t>
      </w:r>
    </w:p>
    <w:p>
      <w:pPr>
        <w:jc w:val="center"/>
        <w:pStyle w:val="Figure"/>
      </w:pPr>
      <w:r>
        <w:rPr/>
        <w:drawing>
          <wp:inline distT="0" distB="0" distL="0" distR="0">
            <wp:extent cx="91440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148"/>
                    <a:stretch>
                      <a:fillRect/>
                    </a:stretch>
                  </pic:blipFill>
                  <pic:spPr bwMode="auto">
                    <a:xfrm>
                      <a:off x="0" y="0"/>
                      <a:ext cx="127000" cy="50800"/>
                    </a:xfrm>
                    <a:prstGeom prst="rect">
                      <a:avLst/>
                    </a:prstGeom>
                    <a:noFill/>
                  </pic:spPr>
                </pic:pic>
              </a:graphicData>
            </a:graphic>
          </wp:inline>
        </w:drawing>
      </w:r>
    </w:p>
    <w:p>
      <w:pPr>
        <w:pStyle w:stlname="Image Caption" w:val="ImageCaption"/>
      </w:pPr>
      <w:bookmarkStart w:id="e63ea93b-53d9-4666-8cfe-11942711dfa1"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e63ea93b-53d9-4666-8cfe-11942711dfa1"/>
      <w:r>
        <w:rPr>
          <w:rFonts w:ascii="Arial" w:hAnsi="Arial" w:eastAsia="Arial" w:cs="Arial"/>
          <w:i w:val="false"/>
          <w:b w:val="true"/>
          <w:u w:val="single"/>
          <w:sz w:val="20"/>
          <w:szCs w:val="20"/>
          <w:color w:val="000000"/>
        </w:rPr>
        <w:t xml:space="preserve">: </w:t>
      </w:r>
      <w:r>
        <w:t xml:space="preserve">Coefficient estimation trend of material and social deprivation quintile</w:t>
      </w:r>
    </w:p>
    <w:p>
      <w:pPr>
        <w:sectPr w:officer="true">
          <w:pgSz w:h="11906" w:w="16838" w:orient="landscape"/>
          <w:type w:val="oddPage"/>
          <w:cols/>
          <w:pgMar w:bottom="1440" w:footer="720" w:gutter="0" w:header="720" w:left="1440" w:right="1440" w:top="1440"/>
        </w:sectPr>
      </w:pPr>
    </w:p>
    <w:p>
      <w:pPr>
        <w:pStyle w:val="Normal"/>
      </w:pPr>
      <w:r>
        <w:t xml:space="preserve">##Anti-N seropositivity aggregated by areal level covariates, region and wave</w:t>
      </w:r>
    </w:p>
    <w:p>
      <w:pPr>
        <w:jc w:val="center"/>
        <w:pStyle w:val="Figure"/>
      </w:pPr>
      <w:r>
        <w:rPr/>
        <w:drawing>
          <wp:inline distT="0" distB="0" distL="0" distR="0">
            <wp:extent cx="6400800" cy="45720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cstate="print" r:embed="rId149"/>
                    <a:stretch>
                      <a:fillRect/>
                    </a:stretch>
                  </pic:blipFill>
                  <pic:spPr bwMode="auto">
                    <a:xfrm>
                      <a:off x="0" y="0"/>
                      <a:ext cx="88900" cy="63500"/>
                    </a:xfrm>
                    <a:prstGeom prst="rect">
                      <a:avLst/>
                    </a:prstGeom>
                    <a:noFill/>
                  </pic:spPr>
                </pic:pic>
              </a:graphicData>
            </a:graphic>
          </wp:inline>
        </w:drawing>
      </w:r>
    </w:p>
    <w:p>
      <w:pPr>
        <w:pStyle w:stlname="Image Caption" w:val="ImageCaption"/>
      </w:pPr>
      <w:bookmarkStart w:id="82083741-d3b6-46d3-a096-94fc9c6b119f"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82083741-d3b6-46d3-a096-94fc9c6b119f"/>
      <w:r>
        <w:rPr>
          <w:rFonts w:ascii="Arial" w:hAnsi="Arial" w:eastAsia="Arial" w:cs="Arial"/>
          <w:i w:val="false"/>
          <w:b w:val="true"/>
          <w:u w:val="single"/>
          <w:sz w:val="20"/>
          <w:szCs w:val="20"/>
          <w:color w:val="000000"/>
        </w:rPr>
        <w:t xml:space="preserve">: </w:t>
      </w:r>
      <w:r>
        <w:t xml:space="preserve">Anti-N seropositivity of areal level covariates by region/wave</w:t>
      </w:r>
    </w:p>
    <w:p>
      <w:pPr>
        <w:pStyle w:val="BodyText"/>
      </w:pPr>
      <w:r>
        <w:t xml:space="preserve">##Anti-N seropositivity aggregated by individual level covariates, region and wave</w:t>
      </w:r>
    </w:p>
    <w:p>
      <w:pPr>
        <w:jc w:val="center"/>
        <w:pStyle w:val="Figure"/>
      </w:pPr>
      <w:r>
        <w:rPr/>
        <w:drawing>
          <wp:inline distT="0" distB="0" distL="0" distR="0">
            <wp:extent cx="6400800" cy="45720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150"/>
                    <a:stretch>
                      <a:fillRect/>
                    </a:stretch>
                  </pic:blipFill>
                  <pic:spPr bwMode="auto">
                    <a:xfrm>
                      <a:off x="0" y="0"/>
                      <a:ext cx="88900" cy="63500"/>
                    </a:xfrm>
                    <a:prstGeom prst="rect">
                      <a:avLst/>
                    </a:prstGeom>
                    <a:noFill/>
                  </pic:spPr>
                </pic:pic>
              </a:graphicData>
            </a:graphic>
          </wp:inline>
        </w:drawing>
      </w:r>
    </w:p>
    <w:p>
      <w:pPr>
        <w:pStyle w:stlname="Image Caption" w:val="ImageCaption"/>
      </w:pPr>
      <w:bookmarkStart w:id="429fa786-2c38-47ab-99c5-979b0a988e74"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429fa786-2c38-47ab-99c5-979b0a988e74"/>
      <w:r>
        <w:rPr>
          <w:rFonts w:ascii="Arial" w:hAnsi="Arial" w:eastAsia="Arial" w:cs="Arial"/>
          <w:i w:val="false"/>
          <w:b w:val="true"/>
          <w:u w:val="single"/>
          <w:sz w:val="20"/>
          <w:szCs w:val="20"/>
          <w:color w:val="000000"/>
        </w:rPr>
        <w:t xml:space="preserve">: </w:t>
      </w:r>
      <w:r>
        <w:t xml:space="preserve">Anti-N seropositivity of individual level covariates by region/wave</w:t>
      </w:r>
    </w:p>
    <w:bookmarkEnd w:id="156"/>
    <w:bookmarkStart w:id="157" w:name="X7a7f4d25ce5c54986939cb99498e60bafd99699"/>
    <w:p>
      <w:pPr>
        <w:pStyle w:val="Heading2"/>
      </w:pPr>
      <w:r>
        <w:t xml:space="preserve">Reported vaccination proportion aggregated by areal level covariates, region and wave</w:t>
      </w:r>
    </w:p>
    <w:p>
      <w:pPr>
        <w:jc w:val="center"/>
        <w:pStyle w:val="Figure"/>
      </w:pPr>
      <w:r>
        <w:rPr/>
        <w:drawing>
          <wp:inline distT="0" distB="0" distL="0" distR="0">
            <wp:extent cx="6400800" cy="45720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cstate="print" r:embed="rId151"/>
                    <a:stretch>
                      <a:fillRect/>
                    </a:stretch>
                  </pic:blipFill>
                  <pic:spPr bwMode="auto">
                    <a:xfrm>
                      <a:off x="0" y="0"/>
                      <a:ext cx="88900" cy="63500"/>
                    </a:xfrm>
                    <a:prstGeom prst="rect">
                      <a:avLst/>
                    </a:prstGeom>
                    <a:noFill/>
                  </pic:spPr>
                </pic:pic>
              </a:graphicData>
            </a:graphic>
          </wp:inline>
        </w:drawing>
      </w:r>
    </w:p>
    <w:p>
      <w:pPr>
        <w:pStyle w:stlname="Image Caption" w:val="ImageCaption"/>
      </w:pPr>
      <w:bookmarkStart w:id="4c3078b4-30e3-4321-b94e-8e1775cca647"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4c3078b4-30e3-4321-b94e-8e1775cca647"/>
      <w:r>
        <w:rPr>
          <w:rFonts w:ascii="Arial" w:hAnsi="Arial" w:eastAsia="Arial" w:cs="Arial"/>
          <w:i w:val="false"/>
          <w:b w:val="true"/>
          <w:u w:val="single"/>
          <w:sz w:val="20"/>
          <w:szCs w:val="20"/>
          <w:color w:val="000000"/>
        </w:rPr>
        <w:t xml:space="preserve">: </w:t>
      </w:r>
      <w:r>
        <w:t xml:space="preserve">Reported vaccination proportion of areal level covariates by region/wave</w:t>
      </w:r>
    </w:p>
    <w:bookmarkEnd w:id="157"/>
    <w:bookmarkStart w:id="158" w:name="X38e884f518f81193c6367b318b68693b0477bcb"/>
    <w:p>
      <w:pPr>
        <w:pStyle w:val="Heading2"/>
      </w:pPr>
      <w:r>
        <w:t xml:space="preserve">Reported vaccination proportion aggregated by individual level covariates, region and wave</w:t>
      </w:r>
    </w:p>
    <w:p>
      <w:pPr>
        <w:jc w:val="center"/>
        <w:pStyle w:val="Figure"/>
      </w:pPr>
      <w:r>
        <w:rPr/>
        <w:drawing>
          <wp:inline distT="0" distB="0" distL="0" distR="0">
            <wp:extent cx="6400800" cy="45720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152"/>
                    <a:stretch>
                      <a:fillRect/>
                    </a:stretch>
                  </pic:blipFill>
                  <pic:spPr bwMode="auto">
                    <a:xfrm>
                      <a:off x="0" y="0"/>
                      <a:ext cx="88900" cy="63500"/>
                    </a:xfrm>
                    <a:prstGeom prst="rect">
                      <a:avLst/>
                    </a:prstGeom>
                    <a:noFill/>
                  </pic:spPr>
                </pic:pic>
              </a:graphicData>
            </a:graphic>
          </wp:inline>
        </w:drawing>
      </w:r>
    </w:p>
    <w:p>
      <w:pPr>
        <w:pStyle w:stlname="Image Caption" w:val="ImageCaption"/>
      </w:pPr>
      <w:bookmarkStart w:id="5b53d0a1-db73-4a21-8387-4d3f062af8e8"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5b53d0a1-db73-4a21-8387-4d3f062af8e8"/>
      <w:r>
        <w:rPr>
          <w:rFonts w:ascii="Arial" w:hAnsi="Arial" w:eastAsia="Arial" w:cs="Arial"/>
          <w:i w:val="false"/>
          <w:b w:val="true"/>
          <w:u w:val="single"/>
          <w:sz w:val="20"/>
          <w:szCs w:val="20"/>
          <w:color w:val="000000"/>
        </w:rPr>
        <w:t xml:space="preserve">: </w:t>
      </w:r>
      <w:r>
        <w:t xml:space="preserve">Reported vaccination proportion of individual level covariates by region/wave</w:t>
      </w:r>
    </w:p>
    <w:p>
      <w:pPr>
        <w:jc w:val="center"/>
        <w:pStyle w:val="Figure"/>
      </w:pPr>
      <w:r>
        <w:rPr/>
        <w:drawing>
          <wp:inline distT="0" distB="0" distL="0" distR="0">
            <wp:extent cx="5943600" cy="45720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cstate="print" r:embed="rId153"/>
                    <a:stretch>
                      <a:fillRect/>
                    </a:stretch>
                  </pic:blipFill>
                  <pic:spPr bwMode="auto">
                    <a:xfrm>
                      <a:off x="0" y="0"/>
                      <a:ext cx="82550" cy="63500"/>
                    </a:xfrm>
                    <a:prstGeom prst="rect">
                      <a:avLst/>
                    </a:prstGeom>
                    <a:noFill/>
                  </pic:spPr>
                </pic:pic>
              </a:graphicData>
            </a:graphic>
          </wp:inline>
        </w:drawing>
      </w:r>
    </w:p>
    <w:p>
      <w:pPr>
        <w:pStyle w:stlname="Image Caption" w:val="ImageCaption"/>
      </w:pPr>
      <w:bookmarkStart w:id="e01152c3-40e7-46d6-9517-7019e8763bd8"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e01152c3-40e7-46d6-9517-7019e8763bd8"/>
      <w:r>
        <w:rPr>
          <w:rFonts w:ascii="Arial" w:hAnsi="Arial" w:eastAsia="Arial" w:cs="Arial"/>
          <w:i w:val="false"/>
          <w:b w:val="true"/>
          <w:u w:val="single"/>
          <w:sz w:val="20"/>
          <w:szCs w:val="20"/>
          <w:color w:val="000000"/>
        </w:rPr>
        <w:t xml:space="preserve">: </w:t>
      </w:r>
      <w:r>
        <w:t xml:space="preserve">Seropositivity estimation of Ontario and British Columbia, Prairies and Atlantic during Delta period through model with/without spatial random effect.</w:t>
      </w:r>
    </w:p>
    <w:p>
      <w:pPr>
        <w:jc w:val="center"/>
        <w:pStyle w:val="Figure"/>
      </w:pPr>
      <w:r>
        <w:rPr/>
        <w:drawing>
          <wp:inline distT="0" distB="0" distL="0" distR="0">
            <wp:extent cx="5943600" cy="45720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154"/>
                    <a:stretch>
                      <a:fillRect/>
                    </a:stretch>
                  </pic:blipFill>
                  <pic:spPr bwMode="auto">
                    <a:xfrm>
                      <a:off x="0" y="0"/>
                      <a:ext cx="82550" cy="63500"/>
                    </a:xfrm>
                    <a:prstGeom prst="rect">
                      <a:avLst/>
                    </a:prstGeom>
                    <a:noFill/>
                  </pic:spPr>
                </pic:pic>
              </a:graphicData>
            </a:graphic>
          </wp:inline>
        </w:drawing>
      </w:r>
    </w:p>
    <w:p>
      <w:pPr>
        <w:pStyle w:stlname="Image Caption" w:val="ImageCaption"/>
      </w:pPr>
      <w:bookmarkStart w:id="f3c811fd-05ad-4d36-a30c-62058b354400"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f3c811fd-05ad-4d36-a30c-62058b354400"/>
      <w:r>
        <w:rPr>
          <w:rFonts w:ascii="Arial" w:hAnsi="Arial" w:eastAsia="Arial" w:cs="Arial"/>
          <w:i w:val="false"/>
          <w:b w:val="true"/>
          <w:u w:val="single"/>
          <w:sz w:val="20"/>
          <w:szCs w:val="20"/>
          <w:color w:val="000000"/>
        </w:rPr>
        <w:t xml:space="preserve">: </w:t>
      </w:r>
      <w:r>
        <w:t xml:space="preserve">Seropositivity estimation of Ontario and British Columbia, Prairies and Atlantic during Pre-Delta period through model with/without spatial random effect.</w:t>
      </w:r>
    </w:p>
    <w:bookmarkEnd w:id="158"/>
    <w:bookmarkStart w:id="159" w:name="X078ea79a4058435eeccc4228c24ffcfe323ea30"/>
    <w:p>
      <w:pPr>
        <w:pStyle w:val="Heading2"/>
      </w:pPr>
      <w:r>
        <w:t xml:space="preserve">Timing of COVID serological testing by Canadian Blood Services (Might aks Sheila if it is good to include)</w:t>
      </w:r>
    </w:p>
    <w:bookmarkEnd w:id="159"/>
    <w:bookmarkEnd w:id="160"/>
    <w:sectPr w:rsidR="00506710" w:rsidRPr="00506710" w:rsidSect="00A42BFA">
      <w:footerReference r:id="rId9" w:type="default"/>
      <w:pgSz w:h="15840" w:w="12240"/>
      <w:pgMar w:bottom="1440" w:footer="720" w:gutter="0" w:header="720" w:left="1440" w:right="1440" w:top="1440"/>
      <w:cols w:space="720"/>
      <w:docGrid w:linePitch="326"/>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29784"/>
      <w:docPartObj>
        <w:docPartGallery w:val="Page Numbers (Bottom of Page)"/>
        <w:docPartUnique/>
      </w:docPartObj>
    </w:sdtPr>
    <w:sdtEndPr>
      <w:rPr>
        <w:noProof/>
      </w:rPr>
    </w:sdtEndPr>
    <w:sdtContent>
      <w:p w14:paraId="40F17B75" w14:textId="03C47B60" w:rsidR="003B2F2D" w:rsidRDefault="003B2F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6B981A" w14:textId="77777777" w:rsidR="003B2F2D" w:rsidRDefault="003B2F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6204A43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F35A60F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382E10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A2ED25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E215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AAF024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2361896"/>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EB400D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69A6705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E06D47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14267CC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3AC4025"/>
    <w:multiLevelType w:val="hybridMultilevel"/>
    <w:tmpl w:val="EDB03E1C"/>
    <w:lvl w:ilvl="0" w:tplc="28AC975A">
      <w:start w:val="1"/>
      <w:numFmt w:val="decimal"/>
      <w:lvlText w:val="1.%1"/>
      <w:lvlJc w:val="left"/>
      <w:pPr>
        <w:ind w:hanging="360" w:left="36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2">
    <w:nsid w:val="2C1AE401"/>
    <w:multiLevelType w:val="multilevel"/>
    <w:tmpl w:val="12406B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5FFD2A3C"/>
    <w:multiLevelType w:val="hybridMultilevel"/>
    <w:tmpl w:val="C910249A"/>
    <w:lvl w:ilvl="0" w:tplc="27AEA6C8">
      <w:start w:val="1"/>
      <w:numFmt w:val="decimal"/>
      <w:lvlText w:val="%1."/>
      <w:lvlJc w:val="left"/>
      <w:pPr>
        <w:ind w:hanging="360" w:left="36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3"/>
  </w:num>
  <w:num w:numId="14">
    <w:abstractNumId w:val="11"/>
  </w:num>
  <w:num w:numId="1000">
    <w:abstractNumId w:val="990"/>
  </w:num>
</w:numbering>
</file>

<file path=word/settings.xml><?xml version="1.0" encoding="utf-8"?>
<w:settings xmlns:w="http://schemas.openxmlformats.org/wordprocessingml/2006/main">
  <w:zoom w:percent="11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C1E9D"/>
    <w:pPr>
      <w:spacing w:line="360" w:lineRule="auto"/>
    </w:pPr>
    <w:rPr>
      <w:rFonts w:ascii="Times New Roman" w:hAnsi="Times New Roman"/>
    </w:rPr>
  </w:style>
  <w:style w:styleId="Heading1" w:type="paragraph">
    <w:name w:val="heading 1"/>
    <w:basedOn w:val="Normal"/>
    <w:next w:val="BodyText"/>
    <w:uiPriority w:val="9"/>
    <w:qFormat/>
    <w:rsid w:val="001D6EB1"/>
    <w:pPr>
      <w:keepNext/>
      <w:keepLines/>
      <w:spacing w:after="0" w:line="480" w:lineRule="auto"/>
      <w:contextualSpacing/>
      <w:outlineLvl w:val="0"/>
    </w:pPr>
    <w:rPr>
      <w:rFonts w:cstheme="majorBidi" w:eastAsiaTheme="majorEastAsia"/>
      <w:b/>
      <w:bCs/>
      <w:caps/>
      <w:szCs w:val="32"/>
    </w:rPr>
  </w:style>
  <w:style w:styleId="Heading2" w:type="paragraph">
    <w:name w:val="heading 2"/>
    <w:basedOn w:val="Normal"/>
    <w:next w:val="BodyText"/>
    <w:uiPriority w:val="9"/>
    <w:unhideWhenUsed/>
    <w:qFormat/>
    <w:rsid w:val="001D6EB1"/>
    <w:pPr>
      <w:keepNext/>
      <w:keepLines/>
      <w:spacing w:after="0" w:line="480" w:lineRule="auto"/>
      <w:contextualSpacing/>
      <w:outlineLvl w:val="1"/>
    </w:pPr>
    <w:rPr>
      <w:rFonts w:cstheme="majorBidi" w:eastAsiaTheme="majorEastAsia"/>
      <w:b/>
      <w:bCs/>
      <w:szCs w:val="32"/>
    </w:rPr>
  </w:style>
  <w:style w:styleId="Heading3" w:type="paragraph">
    <w:name w:val="heading 3"/>
    <w:basedOn w:val="Normal"/>
    <w:next w:val="BodyText"/>
    <w:uiPriority w:val="9"/>
    <w:unhideWhenUsed/>
    <w:qFormat/>
    <w:rsid w:val="004F67C7"/>
    <w:pPr>
      <w:keepNext/>
      <w:keepLines/>
      <w:spacing w:after="0" w:line="480" w:lineRule="auto"/>
      <w:contextualSpacing/>
      <w:outlineLvl w:val="2"/>
    </w:pPr>
    <w:rPr>
      <w:rFonts w:cstheme="majorBidi" w:eastAsiaTheme="majorEastAsia"/>
      <w:bCs/>
      <w:i/>
      <w:szCs w:val="28"/>
    </w:rPr>
  </w:style>
  <w:style w:styleId="Heading4" w:type="paragraph">
    <w:name w:val="heading 4"/>
    <w:basedOn w:val="Normal"/>
    <w:next w:val="BodyText"/>
    <w:uiPriority w:val="9"/>
    <w:unhideWhenUsed/>
    <w:qFormat/>
    <w:rsid w:val="001D6EB1"/>
    <w:pPr>
      <w:keepNext/>
      <w:keepLines/>
      <w:spacing w:after="0" w:line="480" w:lineRule="auto"/>
      <w:contextualSpacing/>
      <w:jc w:val="center"/>
      <w:outlineLvl w:val="3"/>
    </w:pPr>
    <w:rPr>
      <w:rFonts w:cstheme="majorBidi" w:eastAsiaTheme="majorEastAsia"/>
      <w:bCs/>
    </w:rPr>
  </w:style>
  <w:style w:styleId="Heading5" w:type="paragraph">
    <w:name w:val="heading 5"/>
    <w:basedOn w:val="Normal"/>
    <w:next w:val="BodyText"/>
    <w:uiPriority w:val="9"/>
    <w:unhideWhenUsed/>
    <w:qFormat/>
    <w:rsid w:val="00DD2FC5"/>
    <w:pPr>
      <w:keepNext/>
      <w:keepLines/>
      <w:pageBreakBefore/>
      <w:spacing w:after="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rsid w:val="00776866"/>
    <w:pPr>
      <w:keepNext/>
      <w:keepLines/>
      <w:spacing w:after="0" w:before="200"/>
      <w:outlineLvl w:val="5"/>
    </w:pPr>
    <w:rPr>
      <w:rFonts w:cstheme="majorBidi" w:eastAsiaTheme="majorEastAsia"/>
      <w:b/>
    </w:rPr>
  </w:style>
  <w:style w:styleId="Heading7" w:type="paragraph">
    <w:name w:val="heading 7"/>
    <w:basedOn w:val="Normal"/>
    <w:next w:val="BodyText"/>
    <w:uiPriority w:val="9"/>
    <w:unhideWhenUsed/>
    <w:qFormat/>
    <w:rsid w:val="008967DE"/>
    <w:pPr>
      <w:keepNext/>
      <w:keepLines/>
      <w:spacing w:after="120" w:before="200"/>
      <w:outlineLvl w:val="6"/>
    </w:pPr>
    <w:rPr>
      <w:rFonts w:cstheme="majorBidi" w:eastAsiaTheme="majorEastAsia"/>
      <w:b/>
      <w:u w:val="single"/>
    </w:rPr>
  </w:style>
  <w:style w:styleId="Heading8" w:type="paragraph">
    <w:name w:val="heading 8"/>
    <w:basedOn w:val="Normal"/>
    <w:next w:val="BodyText"/>
    <w:uiPriority w:val="9"/>
    <w:unhideWhenUsed/>
    <w:qFormat/>
    <w:rsid w:val="00FD4880"/>
    <w:pPr>
      <w:keepNext/>
      <w:keepLines/>
      <w:spacing w:after="0" w:before="200" w:line="480" w:lineRule="auto"/>
      <w:jc w:val="center"/>
      <w:outlineLvl w:val="7"/>
    </w:pPr>
    <w:rPr>
      <w:rFonts w:cstheme="majorBidi" w:eastAsiaTheme="majorEastAsia"/>
      <w:b/>
      <w:smallCaps/>
      <w:sz w:val="28"/>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F5091"/>
    <w:pPr>
      <w:spacing w:after="0" w:line="432" w:lineRule="auto"/>
      <w:contextualSpacing/>
    </w:pPr>
  </w:style>
  <w:style w:customStyle="1" w:styleId="FirstParagraph" w:type="paragraph">
    <w:name w:val="First Paragraph"/>
    <w:basedOn w:val="BodyText"/>
    <w:next w:val="BodyText"/>
    <w:qFormat/>
    <w:rsid w:val="00A66956"/>
  </w:style>
  <w:style w:customStyle="1" w:styleId="Compact" w:type="paragraph">
    <w:name w:val="Compact"/>
    <w:basedOn w:val="BodyText"/>
    <w:qFormat/>
    <w:rsid w:val="00627127"/>
    <w:pPr>
      <w:spacing w:after="240" w:line="240" w:lineRule="auto"/>
    </w:pPr>
  </w:style>
  <w:style w:styleId="Title" w:type="paragraph">
    <w:name w:val="Title"/>
    <w:basedOn w:val="Normal"/>
    <w:next w:val="BodyText"/>
    <w:qFormat/>
    <w:rsid w:val="00CE750A"/>
    <w:pPr>
      <w:keepNext/>
      <w:keepLines/>
      <w:spacing w:after="240" w:before="480" w:line="480" w:lineRule="auto"/>
      <w:jc w:val="center"/>
    </w:pPr>
    <w:rPr>
      <w:rFonts w:cstheme="majorBidi" w:eastAsiaTheme="majorEastAsia"/>
      <w:b/>
      <w:bCs/>
      <w:smallCaps/>
      <w:sz w:val="28"/>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F734CF"/>
    <w:pPr>
      <w:spacing w:after="80"/>
      <w:ind w:hanging="360" w:left="360"/>
    </w:pPr>
  </w:style>
  <w:style w:styleId="BlockText" w:type="paragraph">
    <w:name w:val="Block Text"/>
    <w:basedOn w:val="BodyText"/>
    <w:next w:val="BodyText"/>
    <w:uiPriority w:val="9"/>
    <w:unhideWhenUsed/>
    <w:qFormat/>
    <w:rsid w:val="00C53802"/>
    <w:pPr>
      <w:ind w:firstLine="720"/>
    </w:pPr>
    <w:rPr>
      <w:rFonts w:cstheme="majorBidi" w:eastAsiaTheme="majorEastAsia"/>
      <w:bCs/>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rsid w:val="00EB3A58"/>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6F5091"/>
    <w:rPr>
      <w:sz w:val="22"/>
    </w:rPr>
  </w:style>
  <w:style w:styleId="Header" w:type="paragraph">
    <w:name w:val="header"/>
    <w:basedOn w:val="Normal"/>
    <w:link w:val="HeaderChar"/>
    <w:unhideWhenUsed/>
    <w:rsid w:val="003B2F2D"/>
    <w:pPr>
      <w:tabs>
        <w:tab w:pos="4680" w:val="center"/>
        <w:tab w:pos="9360" w:val="right"/>
      </w:tabs>
      <w:spacing w:after="0"/>
    </w:pPr>
  </w:style>
  <w:style w:customStyle="1" w:styleId="HeaderChar" w:type="character">
    <w:name w:val="Header Char"/>
    <w:basedOn w:val="DefaultParagraphFont"/>
    <w:link w:val="Header"/>
    <w:rsid w:val="003B2F2D"/>
  </w:style>
  <w:style w:styleId="Footer" w:type="paragraph">
    <w:name w:val="footer"/>
    <w:basedOn w:val="Normal"/>
    <w:link w:val="FooterChar"/>
    <w:uiPriority w:val="99"/>
    <w:unhideWhenUsed/>
    <w:rsid w:val="003B2F2D"/>
    <w:pPr>
      <w:tabs>
        <w:tab w:pos="4680" w:val="center"/>
        <w:tab w:pos="9360" w:val="right"/>
      </w:tabs>
      <w:spacing w:after="0"/>
    </w:pPr>
  </w:style>
  <w:style w:customStyle="1" w:styleId="FooterChar" w:type="character">
    <w:name w:val="Footer Char"/>
    <w:basedOn w:val="DefaultParagraphFont"/>
    <w:link w:val="Footer"/>
    <w:uiPriority w:val="99"/>
    <w:rsid w:val="003B2F2D"/>
  </w:style>
  <w:style w:styleId="BalloonText" w:type="paragraph">
    <w:name w:val="Balloon Text"/>
    <w:basedOn w:val="Normal"/>
    <w:link w:val="BalloonTextChar"/>
    <w:semiHidden/>
    <w:unhideWhenUsed/>
    <w:rsid w:val="00846B2C"/>
    <w:pPr>
      <w:spacing w:after="0"/>
    </w:pPr>
    <w:rPr>
      <w:rFonts w:ascii="Segoe UI" w:cs="Segoe UI" w:hAnsi="Segoe UI"/>
      <w:sz w:val="18"/>
      <w:szCs w:val="18"/>
    </w:rPr>
  </w:style>
  <w:style w:customStyle="1" w:styleId="BalloonTextChar" w:type="character">
    <w:name w:val="Balloon Text Char"/>
    <w:basedOn w:val="DefaultParagraphFont"/>
    <w:link w:val="BalloonText"/>
    <w:semiHidden/>
    <w:rsid w:val="00846B2C"/>
    <w:rPr>
      <w:rFonts w:ascii="Segoe UI" w:cs="Segoe UI" w:hAnsi="Segoe UI"/>
      <w:sz w:val="18"/>
      <w:szCs w:val="18"/>
    </w:rPr>
  </w:style>
  <w:style w:customStyle="1" w:styleId="hiddenline" w:type="paragraph">
    <w:name w:val="hidden_line"/>
    <w:basedOn w:val="Heading2"/>
    <w:qFormat/>
    <w:rsid w:val="00AD30A6"/>
    <w:pPr>
      <w:spacing w:line="240" w:lineRule="auto"/>
    </w:pPr>
    <w:rPr>
      <w:color w:themeColor="background1" w:val="FFFFFF"/>
      <w:sz w:val="2"/>
    </w:rPr>
  </w:style>
  <w:style w:styleId="PlaceholderText" w:type="character">
    <w:name w:val="Placeholder Text"/>
    <w:basedOn w:val="DefaultParagraphFont"/>
    <w:semiHidden/>
    <w:rsid w:val="005067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87" Type="http://schemas.openxmlformats.org/officeDocument/2006/relationships/hyperlink" Target="https://doi.org/10.1001/jamanetworkopen.2021.46798" TargetMode="External"/>
<Relationship Id="rId95" Type="http://schemas.openxmlformats.org/officeDocument/2006/relationships/hyperlink" Target="https://doi.org/10.1002/ecs2.1824" TargetMode="External"/>
<Relationship Id="rId121" Type="http://schemas.openxmlformats.org/officeDocument/2006/relationships/hyperlink" Target="https://doi.org/10.1002/jmv.25193" TargetMode="External"/>
<Relationship Id="rId81" Type="http://schemas.openxmlformats.org/officeDocument/2006/relationships/hyperlink" Target="https://doi.org/10.1007/BF00116466" TargetMode="External"/>
<Relationship Id="rId85" Type="http://schemas.openxmlformats.org/officeDocument/2006/relationships/hyperlink" Target="https://doi.org/10.1007/s10654-022-00905-1" TargetMode="External"/>
<Relationship Id="rId135" Type="http://schemas.openxmlformats.org/officeDocument/2006/relationships/hyperlink" Target="https://doi.org/10.1016/S2214-109X(21)00026-7" TargetMode="External"/>
<Relationship Id="rId125" Type="http://schemas.openxmlformats.org/officeDocument/2006/relationships/hyperlink" Target="https://doi.org/10.1016/j.scs.2020.102418" TargetMode="External"/>
<Relationship Id="rId83" Type="http://schemas.openxmlformats.org/officeDocument/2006/relationships/hyperlink" Target="https://doi.org/10.1016/j.sste.2022.100477" TargetMode="External"/>
<Relationship Id="rId109" Type="http://schemas.openxmlformats.org/officeDocument/2006/relationships/hyperlink" Target="https://doi.org/10.1016/j.tmrv.2022.12.006" TargetMode="External"/>
<Relationship Id="rId77" Type="http://schemas.openxmlformats.org/officeDocument/2006/relationships/hyperlink" Target="https://doi.org/10.1038/s41467-022-28157-3" TargetMode="External"/>
<Relationship Id="rId38" Type="http://schemas.openxmlformats.org/officeDocument/2006/relationships/hyperlink" Target="https://doi.org/10.1038/s41467-022-28527-x" TargetMode="External"/>
<Relationship Id="rId113" Type="http://schemas.openxmlformats.org/officeDocument/2006/relationships/hyperlink" Target="https://doi.org/10.1046/j.1423-0410.2001.00035.x" TargetMode="External"/>
<Relationship Id="rId97" Type="http://schemas.openxmlformats.org/officeDocument/2006/relationships/hyperlink" Target="https://doi.org/10.1093/esr/jcv059" TargetMode="External"/>
<Relationship Id="rId46" Type="http://schemas.openxmlformats.org/officeDocument/2006/relationships/hyperlink" Target="https://doi.org/10.1093/ije/dyac194" TargetMode="External"/>
<Relationship Id="rId123" Type="http://schemas.openxmlformats.org/officeDocument/2006/relationships/hyperlink" Target="https://doi.org/10.1093/ije/dyad105" TargetMode="External"/>
<Relationship Id="rId50" Type="http://schemas.openxmlformats.org/officeDocument/2006/relationships/hyperlink" Target="https://doi.org/10.1093/infdis/jiac173" TargetMode="External"/>
<Relationship Id="rId66" Type="http://schemas.openxmlformats.org/officeDocument/2006/relationships/hyperlink" Target="https://doi.org/10.1111/j.1537-2995.2010.03055.x" TargetMode="External"/>
<Relationship Id="rId40" Type="http://schemas.openxmlformats.org/officeDocument/2006/relationships/hyperlink" Target="https://doi.org/10.1111/trf.16296" TargetMode="External"/>
<Relationship Id="rId105" Type="http://schemas.openxmlformats.org/officeDocument/2006/relationships/hyperlink" Target="https://doi.org/10.1111/trf.17140" TargetMode="External"/>
<Relationship Id="rId103" Type="http://schemas.openxmlformats.org/officeDocument/2006/relationships/hyperlink" Target="https://doi.org/10.1111/vox.13374" TargetMode="External"/>
<Relationship Id="rId42" Type="http://schemas.openxmlformats.org/officeDocument/2006/relationships/hyperlink" Target="https://doi.org/10.1128/spectrum.00291-21" TargetMode="External"/>
<Relationship Id="rId58" Type="http://schemas.openxmlformats.org/officeDocument/2006/relationships/hyperlink" Target="https://doi.org/10.1128/spectrum.00339-22" TargetMode="External"/>
<Relationship Id="rId52" Type="http://schemas.openxmlformats.org/officeDocument/2006/relationships/hyperlink" Target="https://doi.org/10.1128/spectrum.02563-21" TargetMode="External"/>
<Relationship Id="rId60" Type="http://schemas.openxmlformats.org/officeDocument/2006/relationships/hyperlink" Target="https://doi.org/10.1128/spectrum.03356-22" TargetMode="External"/>
<Relationship Id="rId62" Type="http://schemas.openxmlformats.org/officeDocument/2006/relationships/hyperlink" Target="https://doi.org/10.1136/bmjopen-2021-057846" TargetMode="External"/>
<Relationship Id="rId79" Type="http://schemas.openxmlformats.org/officeDocument/2006/relationships/hyperlink" Target="https://doi.org/10.1177/0081175013490188" TargetMode="External"/>
<Relationship Id="rId93" Type="http://schemas.openxmlformats.org/officeDocument/2006/relationships/hyperlink" Target="https://doi.org/10.1186/1476-072X-6-54" TargetMode="External"/>
<Relationship Id="rId129" Type="http://schemas.openxmlformats.org/officeDocument/2006/relationships/hyperlink" Target="https://doi.org/10.1186/s12889-023-15917-z" TargetMode="External"/>
<Relationship Id="rId70" Type="http://schemas.openxmlformats.org/officeDocument/2006/relationships/hyperlink" Target="https://doi.org/10.1186/s12889-023-15983-3" TargetMode="External"/>
<Relationship Id="rId91" Type="http://schemas.openxmlformats.org/officeDocument/2006/relationships/hyperlink" Target="https://doi.org/10.1186/s12942-017-0120-x" TargetMode="External"/>
<Relationship Id="rId133" Type="http://schemas.openxmlformats.org/officeDocument/2006/relationships/hyperlink" Target="https://doi.org/10.1371/journal.pmed.1004107" TargetMode="External"/>
<Relationship Id="rId131" Type="http://schemas.openxmlformats.org/officeDocument/2006/relationships/hyperlink" Target="https://doi.org/10.1371/journal.pone.0186662" TargetMode="External"/>
<Relationship Id="rId89" Type="http://schemas.openxmlformats.org/officeDocument/2006/relationships/hyperlink" Target="https://doi.org/10.1371/journal.pone.0248946" TargetMode="External"/>
<Relationship Id="rId54" Type="http://schemas.openxmlformats.org/officeDocument/2006/relationships/hyperlink" Target="https://doi.org/10.1371/journal.pone.0252617" TargetMode="External"/>
<Relationship Id="rId72" Type="http://schemas.openxmlformats.org/officeDocument/2006/relationships/hyperlink" Target="https://doi.org/10.1371/journal.pone.0276160" TargetMode="External"/>
<Relationship Id="rId127" Type="http://schemas.openxmlformats.org/officeDocument/2006/relationships/hyperlink" Target="https://doi.org/10.1371/journal.pone.0276507" TargetMode="External"/>
<Relationship Id="rId44" Type="http://schemas.openxmlformats.org/officeDocument/2006/relationships/hyperlink" Target="https://doi.org/10.1503/cmaj.147635-l" TargetMode="External"/>
<Relationship Id="rId74" Type="http://schemas.openxmlformats.org/officeDocument/2006/relationships/hyperlink" Target="https://doi.org/10.1503/cmaj.211249" TargetMode="External"/>
<Relationship Id="rId56" Type="http://schemas.openxmlformats.org/officeDocument/2006/relationships/hyperlink" Target="https://doi.org/10.1503/cmaj.221335" TargetMode="External"/>
<Relationship Id="rId119" Type="http://schemas.openxmlformats.org/officeDocument/2006/relationships/hyperlink" Target="https://doi.org/10.1503/cmaj.230249" TargetMode="External"/>
<Relationship Id="rId64" Type="http://schemas.openxmlformats.org/officeDocument/2006/relationships/hyperlink" Target="https://doi.org/10.17269/s41997-021-00531-6" TargetMode="External"/>
<Relationship Id="rId68" Type="http://schemas.openxmlformats.org/officeDocument/2006/relationships/hyperlink" Target="https://doi.org/10.18637/jss.v080.i01" TargetMode="External"/>
<Relationship Id="rId117" Type="http://schemas.openxmlformats.org/officeDocument/2006/relationships/hyperlink" Target="https://doi.org/10.3201/eid1203.051287" TargetMode="External"/>
<Relationship Id="rId48" Type="http://schemas.openxmlformats.org/officeDocument/2006/relationships/hyperlink" Target="https://doi.org/10.3201/eid2207.160116" TargetMode="External"/>
<Relationship Id="rId101" Type="http://schemas.openxmlformats.org/officeDocument/2006/relationships/hyperlink" Target="https://doi.org/10.3390/d15020127" TargetMode="External"/>
<Relationship Id="rId111" Type="http://schemas.openxmlformats.org/officeDocument/2006/relationships/hyperlink" Target="https://doi.org/10.3390/v14112336" TargetMode="External"/>
<Relationship Id="rId115" Type="http://schemas.openxmlformats.org/officeDocument/2006/relationships/hyperlink" Target="https://doi.org/10.4269/ajtmh.1998.58.726" TargetMode="External"/>
<Relationship Id="rId36" Type="http://schemas.openxmlformats.org/officeDocument/2006/relationships/hyperlink" Target="https://doi.org/10.47326/ocsat.2021.02.40.1.0" TargetMode="External"/>
<Relationship Id="rId99" Type="http://schemas.openxmlformats.org/officeDocument/2006/relationships/hyperlink" Target="https://www.cma.ca/clinical-blog/containing-covid-19-how-calgary-health-team-helped-suppress-outbreak-meat-packing" TargetMode="External"/>
<Relationship Id="rId107" Type="http://schemas.openxmlformats.org/officeDocument/2006/relationships/hyperlink" Target="https://www.jstor.org/stable/41995684" TargetMode="External"/>
<Relationship Id="rId137" Type="http://schemas.openxmlformats.org/officeDocument/2006/relationships/hyperlink" Target="https://www150.statcan.gc.ca/t1/tbl1/en/tv.action?pid=1710000501" TargetMode="External"/>
<Relationship Id="rId20" Type="http://schemas.openxmlformats.org/officeDocument/2006/relationships/hyperlink" Target="mailto:alton.russell@mcgill.ca" TargetMode="External"/>
<Relationship Id="rId138" Type="http://schemas.openxmlformats.org/officeDocument/2006/relationships/image" Target="media/ecca99bb508415ac507af8440a08e7eec00618cb.png"/>
<Relationship Id="rId139" Type="http://schemas.openxmlformats.org/officeDocument/2006/relationships/image" Target="media/1f6a843d4b753a59cd7d9201ab26d993d912ba0c.png"/>
<Relationship Id="rId140" Type="http://schemas.openxmlformats.org/officeDocument/2006/relationships/image" Target="media/b6699d09a90cde8195c05eb984ac68458436d06c.png"/>
<Relationship Id="rId141" Type="http://schemas.openxmlformats.org/officeDocument/2006/relationships/image" Target="media/0807c38c56989ff54d3bde058a66381026870d33.png"/>
<Relationship Id="rId142" Type="http://schemas.openxmlformats.org/officeDocument/2006/relationships/image" Target="media/6bec05ac3910b1f2ac1bc6b98375c52ba7327121.png"/>
<Relationship Id="rId143" Type="http://schemas.openxmlformats.org/officeDocument/2006/relationships/image" Target="media/e2c136507f45ff3c5287994ac1600056a5a14702.png"/>
<Relationship Id="rId144" Type="http://schemas.openxmlformats.org/officeDocument/2006/relationships/image" Target="media/8b1f15d3de4039724d53aa0706579b961951aa75.png"/>
<Relationship Id="rId145" Type="http://schemas.openxmlformats.org/officeDocument/2006/relationships/image" Target="media/18bb63230fd972b3e11fa18dd967bc66f229612e.png"/>
<Relationship Id="rId146" Type="http://schemas.openxmlformats.org/officeDocument/2006/relationships/image" Target="media/0feff45b0588120e24e7d6a0a299e718470e92e3.png"/>
<Relationship Id="rId147" Type="http://schemas.openxmlformats.org/officeDocument/2006/relationships/image" Target="media/5ceb47eb36e209ef2d00c3fc56e4fe8e79ba17de.png"/>
<Relationship Id="rId148" Type="http://schemas.openxmlformats.org/officeDocument/2006/relationships/image" Target="media/0d50ee73ef6369fb2dd05f92628c76424732ee3f.png"/>
<Relationship Id="rId149" Type="http://schemas.openxmlformats.org/officeDocument/2006/relationships/image" Target="media/105b4fdb0a7a7d4452c39c8880317cc6a823ce36.png"/>
<Relationship Id="rId150" Type="http://schemas.openxmlformats.org/officeDocument/2006/relationships/image" Target="media/8069228906d6253f63d571a1d1bee8dad730a1e9.png"/>
<Relationship Id="rId151" Type="http://schemas.openxmlformats.org/officeDocument/2006/relationships/image" Target="media/3362fd1064fd7fe702102aa10288e7e99a50783e.png"/>
<Relationship Id="rId152" Type="http://schemas.openxmlformats.org/officeDocument/2006/relationships/image" Target="media/8eb25694e1ff390c1afa112e5ee565d5b328b550.png"/>
<Relationship Id="rId153" Type="http://schemas.openxmlformats.org/officeDocument/2006/relationships/image" Target="media/ae1fe5e0575a1c39fe7c57d45e6186c0e88f4496.png"/>
<Relationship Id="rId154" Type="http://schemas.openxmlformats.org/officeDocument/2006/relationships/image" Target="media/f7dad104853ea527411ffb574c2508792ed21bf8.png"/>
</Relationships>

</file>

<file path=word/_rels/footnotes.xml.rels><?xml version="1.0" encoding="UTF-8" standalone="yes"?>

<Relationships  xmlns="http://schemas.openxmlformats.org/package/2006/relationships">
<Relationship Id="rId87" Type="http://schemas.openxmlformats.org/officeDocument/2006/relationships/hyperlink" Target="https://doi.org/10.1001/jamanetworkopen.2021.46798" TargetMode="External"/>
<Relationship Id="rId95" Type="http://schemas.openxmlformats.org/officeDocument/2006/relationships/hyperlink" Target="https://doi.org/10.1002/ecs2.1824" TargetMode="External"/>
<Relationship Id="rId121" Type="http://schemas.openxmlformats.org/officeDocument/2006/relationships/hyperlink" Target="https://doi.org/10.1002/jmv.25193" TargetMode="External"/>
<Relationship Id="rId81" Type="http://schemas.openxmlformats.org/officeDocument/2006/relationships/hyperlink" Target="https://doi.org/10.1007/BF00116466" TargetMode="External"/>
<Relationship Id="rId85" Type="http://schemas.openxmlformats.org/officeDocument/2006/relationships/hyperlink" Target="https://doi.org/10.1007/s10654-022-00905-1" TargetMode="External"/>
<Relationship Id="rId135" Type="http://schemas.openxmlformats.org/officeDocument/2006/relationships/hyperlink" Target="https://doi.org/10.1016/S2214-109X(21)00026-7" TargetMode="External"/>
<Relationship Id="rId125" Type="http://schemas.openxmlformats.org/officeDocument/2006/relationships/hyperlink" Target="https://doi.org/10.1016/j.scs.2020.102418" TargetMode="External"/>
<Relationship Id="rId83" Type="http://schemas.openxmlformats.org/officeDocument/2006/relationships/hyperlink" Target="https://doi.org/10.1016/j.sste.2022.100477" TargetMode="External"/>
<Relationship Id="rId109" Type="http://schemas.openxmlformats.org/officeDocument/2006/relationships/hyperlink" Target="https://doi.org/10.1016/j.tmrv.2022.12.006" TargetMode="External"/>
<Relationship Id="rId77" Type="http://schemas.openxmlformats.org/officeDocument/2006/relationships/hyperlink" Target="https://doi.org/10.1038/s41467-022-28157-3" TargetMode="External"/>
<Relationship Id="rId38" Type="http://schemas.openxmlformats.org/officeDocument/2006/relationships/hyperlink" Target="https://doi.org/10.1038/s41467-022-28527-x" TargetMode="External"/>
<Relationship Id="rId113" Type="http://schemas.openxmlformats.org/officeDocument/2006/relationships/hyperlink" Target="https://doi.org/10.1046/j.1423-0410.2001.00035.x" TargetMode="External"/>
<Relationship Id="rId97" Type="http://schemas.openxmlformats.org/officeDocument/2006/relationships/hyperlink" Target="https://doi.org/10.1093/esr/jcv059" TargetMode="External"/>
<Relationship Id="rId46" Type="http://schemas.openxmlformats.org/officeDocument/2006/relationships/hyperlink" Target="https://doi.org/10.1093/ije/dyac194" TargetMode="External"/>
<Relationship Id="rId123" Type="http://schemas.openxmlformats.org/officeDocument/2006/relationships/hyperlink" Target="https://doi.org/10.1093/ije/dyad105" TargetMode="External"/>
<Relationship Id="rId50" Type="http://schemas.openxmlformats.org/officeDocument/2006/relationships/hyperlink" Target="https://doi.org/10.1093/infdis/jiac173" TargetMode="External"/>
<Relationship Id="rId66" Type="http://schemas.openxmlformats.org/officeDocument/2006/relationships/hyperlink" Target="https://doi.org/10.1111/j.1537-2995.2010.03055.x" TargetMode="External"/>
<Relationship Id="rId40" Type="http://schemas.openxmlformats.org/officeDocument/2006/relationships/hyperlink" Target="https://doi.org/10.1111/trf.16296" TargetMode="External"/>
<Relationship Id="rId105" Type="http://schemas.openxmlformats.org/officeDocument/2006/relationships/hyperlink" Target="https://doi.org/10.1111/trf.17140" TargetMode="External"/>
<Relationship Id="rId103" Type="http://schemas.openxmlformats.org/officeDocument/2006/relationships/hyperlink" Target="https://doi.org/10.1111/vox.13374" TargetMode="External"/>
<Relationship Id="rId42" Type="http://schemas.openxmlformats.org/officeDocument/2006/relationships/hyperlink" Target="https://doi.org/10.1128/spectrum.00291-21" TargetMode="External"/>
<Relationship Id="rId58" Type="http://schemas.openxmlformats.org/officeDocument/2006/relationships/hyperlink" Target="https://doi.org/10.1128/spectrum.00339-22" TargetMode="External"/>
<Relationship Id="rId52" Type="http://schemas.openxmlformats.org/officeDocument/2006/relationships/hyperlink" Target="https://doi.org/10.1128/spectrum.02563-21" TargetMode="External"/>
<Relationship Id="rId60" Type="http://schemas.openxmlformats.org/officeDocument/2006/relationships/hyperlink" Target="https://doi.org/10.1128/spectrum.03356-22" TargetMode="External"/>
<Relationship Id="rId62" Type="http://schemas.openxmlformats.org/officeDocument/2006/relationships/hyperlink" Target="https://doi.org/10.1136/bmjopen-2021-057846" TargetMode="External"/>
<Relationship Id="rId79" Type="http://schemas.openxmlformats.org/officeDocument/2006/relationships/hyperlink" Target="https://doi.org/10.1177/0081175013490188" TargetMode="External"/>
<Relationship Id="rId93" Type="http://schemas.openxmlformats.org/officeDocument/2006/relationships/hyperlink" Target="https://doi.org/10.1186/1476-072X-6-54" TargetMode="External"/>
<Relationship Id="rId129" Type="http://schemas.openxmlformats.org/officeDocument/2006/relationships/hyperlink" Target="https://doi.org/10.1186/s12889-023-15917-z" TargetMode="External"/>
<Relationship Id="rId70" Type="http://schemas.openxmlformats.org/officeDocument/2006/relationships/hyperlink" Target="https://doi.org/10.1186/s12889-023-15983-3" TargetMode="External"/>
<Relationship Id="rId91" Type="http://schemas.openxmlformats.org/officeDocument/2006/relationships/hyperlink" Target="https://doi.org/10.1186/s12942-017-0120-x" TargetMode="External"/>
<Relationship Id="rId133" Type="http://schemas.openxmlformats.org/officeDocument/2006/relationships/hyperlink" Target="https://doi.org/10.1371/journal.pmed.1004107" TargetMode="External"/>
<Relationship Id="rId131" Type="http://schemas.openxmlformats.org/officeDocument/2006/relationships/hyperlink" Target="https://doi.org/10.1371/journal.pone.0186662" TargetMode="External"/>
<Relationship Id="rId89" Type="http://schemas.openxmlformats.org/officeDocument/2006/relationships/hyperlink" Target="https://doi.org/10.1371/journal.pone.0248946" TargetMode="External"/>
<Relationship Id="rId54" Type="http://schemas.openxmlformats.org/officeDocument/2006/relationships/hyperlink" Target="https://doi.org/10.1371/journal.pone.0252617" TargetMode="External"/>
<Relationship Id="rId72" Type="http://schemas.openxmlformats.org/officeDocument/2006/relationships/hyperlink" Target="https://doi.org/10.1371/journal.pone.0276160" TargetMode="External"/>
<Relationship Id="rId127" Type="http://schemas.openxmlformats.org/officeDocument/2006/relationships/hyperlink" Target="https://doi.org/10.1371/journal.pone.0276507" TargetMode="External"/>
<Relationship Id="rId44" Type="http://schemas.openxmlformats.org/officeDocument/2006/relationships/hyperlink" Target="https://doi.org/10.1503/cmaj.147635-l" TargetMode="External"/>
<Relationship Id="rId74" Type="http://schemas.openxmlformats.org/officeDocument/2006/relationships/hyperlink" Target="https://doi.org/10.1503/cmaj.211249" TargetMode="External"/>
<Relationship Id="rId56" Type="http://schemas.openxmlformats.org/officeDocument/2006/relationships/hyperlink" Target="https://doi.org/10.1503/cmaj.221335" TargetMode="External"/>
<Relationship Id="rId119" Type="http://schemas.openxmlformats.org/officeDocument/2006/relationships/hyperlink" Target="https://doi.org/10.1503/cmaj.230249" TargetMode="External"/>
<Relationship Id="rId64" Type="http://schemas.openxmlformats.org/officeDocument/2006/relationships/hyperlink" Target="https://doi.org/10.17269/s41997-021-00531-6" TargetMode="External"/>
<Relationship Id="rId68" Type="http://schemas.openxmlformats.org/officeDocument/2006/relationships/hyperlink" Target="https://doi.org/10.18637/jss.v080.i01" TargetMode="External"/>
<Relationship Id="rId117" Type="http://schemas.openxmlformats.org/officeDocument/2006/relationships/hyperlink" Target="https://doi.org/10.3201/eid1203.051287" TargetMode="External"/>
<Relationship Id="rId48" Type="http://schemas.openxmlformats.org/officeDocument/2006/relationships/hyperlink" Target="https://doi.org/10.3201/eid2207.160116" TargetMode="External"/>
<Relationship Id="rId101" Type="http://schemas.openxmlformats.org/officeDocument/2006/relationships/hyperlink" Target="https://doi.org/10.3390/d15020127" TargetMode="External"/>
<Relationship Id="rId111" Type="http://schemas.openxmlformats.org/officeDocument/2006/relationships/hyperlink" Target="https://doi.org/10.3390/v14112336" TargetMode="External"/>
<Relationship Id="rId115" Type="http://schemas.openxmlformats.org/officeDocument/2006/relationships/hyperlink" Target="https://doi.org/10.4269/ajtmh.1998.58.726" TargetMode="External"/>
<Relationship Id="rId36" Type="http://schemas.openxmlformats.org/officeDocument/2006/relationships/hyperlink" Target="https://doi.org/10.47326/ocsat.2021.02.40.1.0" TargetMode="External"/>
<Relationship Id="rId99" Type="http://schemas.openxmlformats.org/officeDocument/2006/relationships/hyperlink" Target="https://www.cma.ca/clinical-blog/containing-covid-19-how-calgary-health-team-helped-suppress-outbreak-meat-packing" TargetMode="External"/>
<Relationship Id="rId107" Type="http://schemas.openxmlformats.org/officeDocument/2006/relationships/hyperlink" Target="https://www.jstor.org/stable/41995684" TargetMode="External"/>
<Relationship Id="rId137" Type="http://schemas.openxmlformats.org/officeDocument/2006/relationships/hyperlink" Target="https://www150.statcan.gc.ca/t1/tbl1/en/tv.action?pid=1710000501" TargetMode="External"/>
<Relationship Id="rId20" Type="http://schemas.openxmlformats.org/officeDocument/2006/relationships/hyperlink" Target="mailto:alton.russell@mcgill.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1137</TotalTime>
  <Pages>2</Pages>
  <Words>171</Words>
  <Characters>978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Neighborhood and individual-level predictors of COVID-19 seropositivity among Canadian blood donors across three pandemic waves</dc:title>
  <dc:creator/>
  <cp:keywords/>
  <dcterms:created xsi:type="dcterms:W3CDTF">2023-12-07T17:02:06Z</dcterms:created>
  <dcterms:modified xsi:type="dcterms:W3CDTF">2023-12-07T12:02:07Z</dcterms:modified>
  <cp:lastModifiedBy>yuanyu</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introduction_3wave_reflist.bib</vt:lpwstr>
  </property>
  <property fmtid="{D5CDD505-2E9C-101B-9397-08002B2CF9AE}" pid="4" name="csl">
    <vt:lpwstr>american-medical-association-brackets.csl</vt:lpwstr>
  </property>
  <property fmtid="{D5CDD505-2E9C-101B-9397-08002B2CF9AE}" pid="5" name="header-includes">
    <vt:lpwstr/>
  </property>
  <property fmtid="{D5CDD505-2E9C-101B-9397-08002B2CF9AE}" pid="6" name="output">
    <vt:lpwstr/>
  </property>
</Properties>
</file>